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3A" w:rsidRPr="00506D13" w:rsidRDefault="00187940" w:rsidP="00330E2A">
      <w:pPr>
        <w:widowControl/>
        <w:jc w:val="center"/>
        <w:rPr>
          <w:rFonts w:ascii="Palatino Linotype" w:hAnsi="Palatino Linotype"/>
          <w:b/>
          <w:sz w:val="24"/>
        </w:rPr>
      </w:pPr>
      <w:r w:rsidRPr="00506D13">
        <w:rPr>
          <w:rFonts w:ascii="Palatino Linotype" w:hAnsi="Palatino Linotype"/>
          <w:b/>
          <w:sz w:val="24"/>
        </w:rPr>
        <w:t>_______________</w:t>
      </w:r>
      <w:r w:rsidR="00F6353A" w:rsidRPr="00506D13">
        <w:rPr>
          <w:rFonts w:ascii="Palatino Linotype" w:hAnsi="Palatino Linotype"/>
          <w:b/>
          <w:sz w:val="24"/>
        </w:rPr>
        <w:t xml:space="preserve"> BOY SCOUT </w:t>
      </w:r>
      <w:r w:rsidRPr="00506D13">
        <w:rPr>
          <w:rFonts w:ascii="Palatino Linotype" w:hAnsi="Palatino Linotype"/>
          <w:b/>
          <w:sz w:val="24"/>
        </w:rPr>
        <w:t>COUNCIL</w:t>
      </w:r>
    </w:p>
    <w:p w:rsidR="00F6353A" w:rsidRPr="00506D13" w:rsidRDefault="00F6353A" w:rsidP="00330E2A">
      <w:pPr>
        <w:widowControl/>
        <w:jc w:val="center"/>
        <w:rPr>
          <w:rFonts w:ascii="Palatino Linotype" w:hAnsi="Palatino Linotype"/>
          <w:b/>
          <w:sz w:val="24"/>
        </w:rPr>
      </w:pPr>
      <w:r w:rsidRPr="00506D13">
        <w:rPr>
          <w:rFonts w:ascii="Palatino Linotype" w:hAnsi="Palatino Linotype"/>
          <w:b/>
          <w:sz w:val="24"/>
        </w:rPr>
        <w:t>INVESTMENT OBJECTIVES AND POLICY</w:t>
      </w:r>
    </w:p>
    <w:p w:rsidR="00F6353A" w:rsidRPr="00506D13" w:rsidRDefault="00F6353A">
      <w:pPr>
        <w:widowControl/>
        <w:jc w:val="center"/>
        <w:rPr>
          <w:rFonts w:ascii="Palatino Linotype" w:hAnsi="Palatino Linotype"/>
          <w:b/>
          <w:sz w:val="24"/>
        </w:rPr>
      </w:pPr>
    </w:p>
    <w:p w:rsidR="00F6353A" w:rsidRPr="00506D13" w:rsidRDefault="00F6353A">
      <w:pPr>
        <w:widowControl/>
        <w:jc w:val="center"/>
        <w:rPr>
          <w:rFonts w:ascii="Palatino Linotype" w:hAnsi="Palatino Linotype"/>
          <w:b/>
          <w:sz w:val="24"/>
        </w:rPr>
      </w:pPr>
      <w:r w:rsidRPr="00506D13">
        <w:rPr>
          <w:rFonts w:ascii="Palatino Linotype" w:hAnsi="Palatino Linotype"/>
          <w:b/>
          <w:sz w:val="24"/>
        </w:rPr>
        <w:t>TOTAL FUND</w:t>
      </w:r>
    </w:p>
    <w:p w:rsidR="00F6353A" w:rsidRPr="00506D13" w:rsidRDefault="00F6353A">
      <w:pPr>
        <w:widowControl/>
        <w:jc w:val="center"/>
        <w:rPr>
          <w:rFonts w:ascii="Palatino Linotype" w:hAnsi="Palatino Linotype"/>
          <w:b/>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Statement of Purpose</w:t>
      </w:r>
    </w:p>
    <w:p w:rsidR="00F6353A" w:rsidRPr="00506D13" w:rsidRDefault="00F6353A">
      <w:pPr>
        <w:widowControl/>
        <w:rPr>
          <w:rFonts w:ascii="Palatino Linotype" w:hAnsi="Palatino Linotype"/>
          <w:b/>
          <w:sz w:val="24"/>
        </w:rPr>
      </w:pPr>
    </w:p>
    <w:p w:rsidR="00F6353A" w:rsidRPr="00506D13" w:rsidRDefault="00F6353A">
      <w:pPr>
        <w:widowControl/>
        <w:ind w:left="720"/>
        <w:jc w:val="both"/>
        <w:rPr>
          <w:rFonts w:ascii="Palatino Linotype" w:hAnsi="Palatino Linotype"/>
          <w:sz w:val="24"/>
        </w:rPr>
      </w:pPr>
      <w:r w:rsidRPr="00506D13">
        <w:rPr>
          <w:rFonts w:ascii="Palatino Linotype" w:hAnsi="Palatino Linotype"/>
          <w:sz w:val="24"/>
        </w:rPr>
        <w:t xml:space="preserve">The purpose of the </w:t>
      </w:r>
      <w:r w:rsidR="00187940" w:rsidRPr="00506D13">
        <w:rPr>
          <w:rFonts w:ascii="Palatino Linotype" w:hAnsi="Palatino Linotype"/>
          <w:sz w:val="24"/>
        </w:rPr>
        <w:t>_______________</w:t>
      </w:r>
      <w:r w:rsidRPr="00506D13">
        <w:rPr>
          <w:rFonts w:ascii="Palatino Linotype" w:hAnsi="Palatino Linotype"/>
          <w:sz w:val="24"/>
        </w:rPr>
        <w:t xml:space="preserve"> </w:t>
      </w:r>
      <w:r w:rsidR="00187940" w:rsidRPr="00506D13">
        <w:rPr>
          <w:rFonts w:ascii="Palatino Linotype" w:hAnsi="Palatino Linotype"/>
          <w:sz w:val="24"/>
        </w:rPr>
        <w:t>Council</w:t>
      </w:r>
      <w:r w:rsidRPr="00506D13">
        <w:rPr>
          <w:rFonts w:ascii="Palatino Linotype" w:hAnsi="Palatino Linotype"/>
          <w:sz w:val="24"/>
        </w:rPr>
        <w:t>'s (the "</w:t>
      </w:r>
      <w:r w:rsidR="00187940" w:rsidRPr="00506D13">
        <w:rPr>
          <w:rFonts w:ascii="Palatino Linotype" w:hAnsi="Palatino Linotype"/>
          <w:sz w:val="24"/>
        </w:rPr>
        <w:t>Council</w:t>
      </w:r>
      <w:r w:rsidRPr="00506D13">
        <w:rPr>
          <w:rFonts w:ascii="Palatino Linotype" w:hAnsi="Palatino Linotype"/>
          <w:sz w:val="24"/>
        </w:rPr>
        <w:t xml:space="preserve">") Investment Objectives and Policy is to identify the </w:t>
      </w:r>
      <w:r w:rsidR="00187940" w:rsidRPr="00506D13">
        <w:rPr>
          <w:rFonts w:ascii="Palatino Linotype" w:hAnsi="Palatino Linotype"/>
          <w:sz w:val="24"/>
        </w:rPr>
        <w:t xml:space="preserve">Council’s </w:t>
      </w:r>
      <w:r w:rsidRPr="00506D13">
        <w:rPr>
          <w:rFonts w:ascii="Palatino Linotype" w:hAnsi="Palatino Linotype"/>
          <w:sz w:val="24"/>
        </w:rPr>
        <w:t xml:space="preserve">general investment philosophy, to establish investment objectives, policies and guidelines for the </w:t>
      </w:r>
      <w:r w:rsidR="00187940" w:rsidRPr="00506D13">
        <w:rPr>
          <w:rFonts w:ascii="Palatino Linotype" w:hAnsi="Palatino Linotype"/>
          <w:sz w:val="24"/>
        </w:rPr>
        <w:t>Council</w:t>
      </w:r>
      <w:r w:rsidRPr="00506D13">
        <w:rPr>
          <w:rFonts w:ascii="Palatino Linotype" w:hAnsi="Palatino Linotype"/>
          <w:sz w:val="24"/>
        </w:rPr>
        <w:t xml:space="preserve">'s assets, to establish specific investment performance review criteria and to establish procedures for monitoring and controlling the </w:t>
      </w:r>
      <w:r w:rsidR="00187940" w:rsidRPr="00506D13">
        <w:rPr>
          <w:rFonts w:ascii="Palatino Linotype" w:hAnsi="Palatino Linotype"/>
          <w:sz w:val="24"/>
        </w:rPr>
        <w:t>Council</w:t>
      </w:r>
      <w:r w:rsidRPr="00506D13">
        <w:rPr>
          <w:rFonts w:ascii="Palatino Linotype" w:hAnsi="Palatino Linotype"/>
          <w:sz w:val="24"/>
        </w:rPr>
        <w:t>'s investment portfolio.</w:t>
      </w:r>
    </w:p>
    <w:p w:rsidR="00F6353A" w:rsidRPr="00506D13" w:rsidRDefault="00F6353A">
      <w:pPr>
        <w:widowControl/>
        <w:rPr>
          <w:rFonts w:ascii="Palatino Linotype" w:hAnsi="Palatino Linotype"/>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Bylaws</w:t>
      </w:r>
    </w:p>
    <w:p w:rsidR="00F6353A" w:rsidRPr="00506D13" w:rsidRDefault="00F6353A">
      <w:pPr>
        <w:widowControl/>
        <w:rPr>
          <w:rFonts w:ascii="Palatino Linotype" w:hAnsi="Palatino Linotype"/>
          <w:b/>
          <w:sz w:val="24"/>
        </w:rPr>
      </w:pPr>
    </w:p>
    <w:p w:rsidR="00F6353A" w:rsidRPr="00506D13" w:rsidRDefault="00F6353A">
      <w:pPr>
        <w:widowControl/>
        <w:ind w:left="720"/>
        <w:jc w:val="both"/>
        <w:rPr>
          <w:rFonts w:ascii="Palatino Linotype" w:hAnsi="Palatino Linotype"/>
          <w:sz w:val="24"/>
        </w:rPr>
      </w:pPr>
      <w:r w:rsidRPr="00506D13">
        <w:rPr>
          <w:rFonts w:ascii="Palatino Linotype" w:hAnsi="Palatino Linotype"/>
          <w:sz w:val="24"/>
        </w:rPr>
        <w:t xml:space="preserve">The fund is governed by the Bylaws of the </w:t>
      </w:r>
      <w:r w:rsidR="00187940" w:rsidRPr="00506D13">
        <w:rPr>
          <w:rFonts w:ascii="Palatino Linotype" w:hAnsi="Palatino Linotype"/>
          <w:sz w:val="24"/>
        </w:rPr>
        <w:t>Council</w:t>
      </w:r>
      <w:r w:rsidRPr="00506D13">
        <w:rPr>
          <w:rFonts w:ascii="Palatino Linotype" w:hAnsi="Palatino Linotype"/>
          <w:sz w:val="24"/>
        </w:rPr>
        <w:t xml:space="preserve">.  The Bylaws contain all of the provisions concerning the </w:t>
      </w:r>
      <w:r w:rsidR="00187940" w:rsidRPr="00506D13">
        <w:rPr>
          <w:rFonts w:ascii="Palatino Linotype" w:hAnsi="Palatino Linotype"/>
          <w:sz w:val="24"/>
        </w:rPr>
        <w:t>Council</w:t>
      </w:r>
      <w:r w:rsidRPr="00506D13">
        <w:rPr>
          <w:rFonts w:ascii="Palatino Linotype" w:hAnsi="Palatino Linotype"/>
          <w:sz w:val="24"/>
        </w:rPr>
        <w:t xml:space="preserve">, including the duties of the Trustees.  The Council may amend the Bylaws from time to time, subject to the approval of the Boy Scouts of America.  </w:t>
      </w:r>
    </w:p>
    <w:p w:rsidR="00F6353A" w:rsidRPr="00506D13" w:rsidRDefault="00F6353A">
      <w:pPr>
        <w:widowControl/>
        <w:rPr>
          <w:rFonts w:ascii="Palatino Linotype" w:hAnsi="Palatino Linotype"/>
          <w:b/>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Investment Committee</w:t>
      </w:r>
    </w:p>
    <w:p w:rsidR="00F6353A" w:rsidRPr="00506D13" w:rsidRDefault="00F6353A">
      <w:pPr>
        <w:widowControl/>
        <w:rPr>
          <w:rFonts w:ascii="Palatino Linotype" w:hAnsi="Palatino Linotype"/>
          <w:b/>
          <w:sz w:val="24"/>
        </w:rPr>
      </w:pPr>
    </w:p>
    <w:p w:rsidR="00F6353A" w:rsidRPr="00506D13" w:rsidRDefault="00F6353A">
      <w:pPr>
        <w:widowControl/>
        <w:ind w:left="720"/>
        <w:jc w:val="both"/>
        <w:rPr>
          <w:rFonts w:ascii="Palatino Linotype" w:hAnsi="Palatino Linotype"/>
          <w:sz w:val="24"/>
        </w:rPr>
      </w:pPr>
      <w:r w:rsidRPr="00506D13">
        <w:rPr>
          <w:rFonts w:ascii="Palatino Linotype" w:hAnsi="Palatino Linotype"/>
          <w:sz w:val="24"/>
        </w:rPr>
        <w:t xml:space="preserve">The Trustees of the </w:t>
      </w:r>
      <w:r w:rsidR="00187940" w:rsidRPr="00506D13">
        <w:rPr>
          <w:rFonts w:ascii="Palatino Linotype" w:hAnsi="Palatino Linotype"/>
          <w:sz w:val="24"/>
        </w:rPr>
        <w:t>Council</w:t>
      </w:r>
      <w:r w:rsidRPr="00506D13">
        <w:rPr>
          <w:rFonts w:ascii="Palatino Linotype" w:hAnsi="Palatino Linotype"/>
          <w:sz w:val="24"/>
        </w:rPr>
        <w:t xml:space="preserve"> act as the </w:t>
      </w:r>
      <w:r w:rsidR="00187940" w:rsidRPr="00506D13">
        <w:rPr>
          <w:rFonts w:ascii="Palatino Linotype" w:hAnsi="Palatino Linotype"/>
          <w:sz w:val="24"/>
        </w:rPr>
        <w:t>Council</w:t>
      </w:r>
      <w:r w:rsidRPr="00506D13">
        <w:rPr>
          <w:rFonts w:ascii="Palatino Linotype" w:hAnsi="Palatino Linotype"/>
          <w:sz w:val="24"/>
        </w:rPr>
        <w:t xml:space="preserve">'s Investment Committee.  The Investment Committee has three functions which will be carried out in the Investment Committee's sole discretion.  </w:t>
      </w:r>
    </w:p>
    <w:p w:rsidR="00F6353A" w:rsidRPr="00506D13" w:rsidRDefault="00F6353A">
      <w:pPr>
        <w:widowControl/>
        <w:ind w:left="720"/>
        <w:jc w:val="both"/>
        <w:rPr>
          <w:rFonts w:ascii="Palatino Linotype" w:hAnsi="Palatino Linotype"/>
          <w:sz w:val="24"/>
        </w:rPr>
      </w:pP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1.</w:t>
      </w:r>
      <w:r w:rsidRPr="00506D13">
        <w:rPr>
          <w:rFonts w:ascii="Palatino Linotype" w:hAnsi="Palatino Linotype"/>
          <w:sz w:val="24"/>
        </w:rPr>
        <w:tab/>
        <w:t xml:space="preserve">To establish and change, as necessary, the </w:t>
      </w:r>
      <w:r w:rsidR="00187940" w:rsidRPr="00506D13">
        <w:rPr>
          <w:rFonts w:ascii="Palatino Linotype" w:hAnsi="Palatino Linotype"/>
          <w:sz w:val="24"/>
        </w:rPr>
        <w:t>Council</w:t>
      </w:r>
      <w:r w:rsidRPr="00506D13">
        <w:rPr>
          <w:rFonts w:ascii="Palatino Linotype" w:hAnsi="Palatino Linotype"/>
          <w:sz w:val="24"/>
        </w:rPr>
        <w:t xml:space="preserve">'s investment objectives and policies and asset allocation (Policy Mix.) </w:t>
      </w: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2.</w:t>
      </w:r>
      <w:r w:rsidRPr="00506D13">
        <w:rPr>
          <w:rFonts w:ascii="Palatino Linotype" w:hAnsi="Palatino Linotype"/>
          <w:sz w:val="24"/>
        </w:rPr>
        <w:tab/>
        <w:t xml:space="preserve">To establish and change, as necessary, investment guidelines for the </w:t>
      </w:r>
      <w:r w:rsidR="00187940" w:rsidRPr="00506D13">
        <w:rPr>
          <w:rFonts w:ascii="Palatino Linotype" w:hAnsi="Palatino Linotype"/>
          <w:sz w:val="24"/>
        </w:rPr>
        <w:t>Council</w:t>
      </w:r>
      <w:r w:rsidRPr="00506D13">
        <w:rPr>
          <w:rFonts w:ascii="Palatino Linotype" w:hAnsi="Palatino Linotype"/>
          <w:sz w:val="24"/>
        </w:rPr>
        <w:t xml:space="preserve">'s investment managers.  </w:t>
      </w: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3.</w:t>
      </w:r>
      <w:r w:rsidRPr="00506D13">
        <w:rPr>
          <w:rFonts w:ascii="Palatino Linotype" w:hAnsi="Palatino Linotype"/>
          <w:sz w:val="24"/>
        </w:rPr>
        <w:tab/>
        <w:t xml:space="preserve">To select the </w:t>
      </w:r>
      <w:r w:rsidR="00187940" w:rsidRPr="00506D13">
        <w:rPr>
          <w:rFonts w:ascii="Palatino Linotype" w:hAnsi="Palatino Linotype"/>
          <w:sz w:val="24"/>
        </w:rPr>
        <w:t>Council</w:t>
      </w:r>
      <w:r w:rsidRPr="00506D13">
        <w:rPr>
          <w:rFonts w:ascii="Palatino Linotype" w:hAnsi="Palatino Linotype"/>
          <w:sz w:val="24"/>
        </w:rPr>
        <w:t xml:space="preserve">'s investment managers, monitor their investment </w:t>
      </w:r>
      <w:proofErr w:type="gramStart"/>
      <w:r w:rsidRPr="00506D13">
        <w:rPr>
          <w:rFonts w:ascii="Palatino Linotype" w:hAnsi="Palatino Linotype"/>
          <w:sz w:val="24"/>
        </w:rPr>
        <w:t>performance</w:t>
      </w:r>
      <w:proofErr w:type="gramEnd"/>
      <w:r w:rsidRPr="00506D13">
        <w:rPr>
          <w:rFonts w:ascii="Palatino Linotype" w:hAnsi="Palatino Linotype"/>
          <w:sz w:val="24"/>
        </w:rPr>
        <w:t xml:space="preserve"> and terminate investment managers as necessary.  </w:t>
      </w:r>
    </w:p>
    <w:p w:rsidR="00F6353A" w:rsidRPr="00506D13" w:rsidRDefault="00F6353A">
      <w:pPr>
        <w:widowControl/>
        <w:rPr>
          <w:rFonts w:ascii="Palatino Linotype" w:hAnsi="Palatino Linotype"/>
          <w:b/>
          <w:sz w:val="24"/>
        </w:rPr>
      </w:pPr>
    </w:p>
    <w:p w:rsidR="00F6353A" w:rsidRPr="00506D13" w:rsidRDefault="009A39AE" w:rsidP="00187940">
      <w:pPr>
        <w:widowControl/>
        <w:tabs>
          <w:tab w:val="left" w:pos="6390"/>
        </w:tabs>
        <w:rPr>
          <w:rFonts w:ascii="Palatino Linotype" w:hAnsi="Palatino Linotype"/>
          <w:b/>
          <w:sz w:val="24"/>
        </w:rPr>
      </w:pPr>
      <w:r w:rsidRPr="00506D13">
        <w:rPr>
          <w:rFonts w:ascii="Palatino Linotype" w:hAnsi="Palatino Linotype"/>
          <w:b/>
          <w:sz w:val="24"/>
        </w:rPr>
        <w:t>Investment Subcommittee</w:t>
      </w:r>
    </w:p>
    <w:p w:rsidR="009A39AE" w:rsidRPr="00506D13" w:rsidRDefault="009A39AE" w:rsidP="00187940">
      <w:pPr>
        <w:widowControl/>
        <w:tabs>
          <w:tab w:val="left" w:pos="6390"/>
        </w:tabs>
        <w:rPr>
          <w:rFonts w:ascii="Palatino Linotype" w:hAnsi="Palatino Linotype"/>
          <w:b/>
          <w:sz w:val="24"/>
        </w:rPr>
      </w:pPr>
    </w:p>
    <w:p w:rsidR="009A39AE" w:rsidRPr="00506D13" w:rsidRDefault="009A39AE" w:rsidP="00187940">
      <w:pPr>
        <w:widowControl/>
        <w:tabs>
          <w:tab w:val="left" w:pos="6390"/>
        </w:tabs>
        <w:ind w:left="720"/>
        <w:rPr>
          <w:rFonts w:ascii="Palatino Linotype" w:hAnsi="Palatino Linotype"/>
          <w:sz w:val="24"/>
        </w:rPr>
      </w:pPr>
      <w:r w:rsidRPr="00506D13">
        <w:rPr>
          <w:rFonts w:ascii="Palatino Linotype" w:hAnsi="Palatino Linotype"/>
          <w:sz w:val="24"/>
        </w:rPr>
        <w:t xml:space="preserve">The Trustees of the </w:t>
      </w:r>
      <w:r w:rsidR="00187940" w:rsidRPr="00506D13">
        <w:rPr>
          <w:rFonts w:ascii="Palatino Linotype" w:hAnsi="Palatino Linotype"/>
          <w:sz w:val="24"/>
        </w:rPr>
        <w:t>Council</w:t>
      </w:r>
      <w:r w:rsidRPr="00506D13">
        <w:rPr>
          <w:rFonts w:ascii="Palatino Linotype" w:hAnsi="Palatino Linotype"/>
          <w:sz w:val="24"/>
        </w:rPr>
        <w:t xml:space="preserve"> may appoint an Investment Subcommittee to assist the Investment Committee in fulfilling its responsibilities.  The Subcommittee may monitor investment results, report to the Committee thereon, and make </w:t>
      </w:r>
      <w:r w:rsidRPr="00506D13">
        <w:rPr>
          <w:rFonts w:ascii="Palatino Linotype" w:hAnsi="Palatino Linotype"/>
          <w:sz w:val="24"/>
        </w:rPr>
        <w:lastRenderedPageBreak/>
        <w:t>recommendations with respect thereto, all at such times and in such format as the Committee and the Subcommittee deem appropriate.</w:t>
      </w:r>
    </w:p>
    <w:p w:rsidR="009A39AE" w:rsidRPr="00506D13" w:rsidRDefault="009A39AE" w:rsidP="009A39AE">
      <w:pPr>
        <w:widowControl/>
        <w:ind w:left="720"/>
        <w:rPr>
          <w:rFonts w:ascii="Palatino Linotype" w:hAnsi="Palatino Linotype"/>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Investment Managers</w:t>
      </w:r>
    </w:p>
    <w:p w:rsidR="00F6353A" w:rsidRPr="00506D13" w:rsidRDefault="00F6353A">
      <w:pPr>
        <w:widowControl/>
        <w:ind w:left="720"/>
        <w:jc w:val="both"/>
        <w:rPr>
          <w:rFonts w:ascii="Palatino Linotype" w:hAnsi="Palatino Linotype"/>
          <w:sz w:val="24"/>
        </w:rPr>
      </w:pPr>
      <w:r w:rsidRPr="00506D13">
        <w:rPr>
          <w:rFonts w:ascii="Palatino Linotype" w:hAnsi="Palatino Linotype"/>
          <w:sz w:val="24"/>
        </w:rPr>
        <w:t xml:space="preserve">Independent, professional investment managers will be hired, in a fiduciary capacity, to invest </w:t>
      </w:r>
      <w:r w:rsidR="00187940" w:rsidRPr="00506D13">
        <w:rPr>
          <w:rFonts w:ascii="Palatino Linotype" w:hAnsi="Palatino Linotype"/>
          <w:sz w:val="24"/>
        </w:rPr>
        <w:t>Council</w:t>
      </w:r>
      <w:r w:rsidRPr="00506D13">
        <w:rPr>
          <w:rFonts w:ascii="Palatino Linotype" w:hAnsi="Palatino Linotype"/>
          <w:sz w:val="24"/>
        </w:rPr>
        <w:t xml:space="preserve"> assets according to specific investment guidelines established for each investment manager.  </w:t>
      </w:r>
    </w:p>
    <w:p w:rsidR="00F6353A" w:rsidRDefault="00F6353A">
      <w:pPr>
        <w:widowControl/>
        <w:rPr>
          <w:rFonts w:ascii="Palatino Linotype" w:hAnsi="Palatino Linotype"/>
          <w:b/>
          <w:sz w:val="24"/>
        </w:rPr>
      </w:pPr>
    </w:p>
    <w:p w:rsidR="00506D13" w:rsidRPr="00506D13" w:rsidRDefault="00506D13">
      <w:pPr>
        <w:widowControl/>
        <w:rPr>
          <w:rFonts w:ascii="Palatino Linotype" w:hAnsi="Palatino Linotype"/>
          <w:b/>
          <w:sz w:val="24"/>
        </w:rPr>
        <w:sectPr w:rsidR="00506D13" w:rsidRPr="00506D13">
          <w:footerReference w:type="default" r:id="rId7"/>
          <w:footerReference w:type="first" r:id="rId8"/>
          <w:footnotePr>
            <w:numRestart w:val="eachPage"/>
          </w:footnotePr>
          <w:type w:val="nextColumn"/>
          <w:pgSz w:w="12240" w:h="15840" w:code="1"/>
          <w:pgMar w:top="1440" w:right="1440" w:bottom="1080" w:left="1440" w:header="720" w:footer="720" w:gutter="0"/>
          <w:pgNumType w:start="0"/>
          <w:cols w:space="720"/>
          <w:noEndnote/>
          <w:titlePg/>
        </w:sectPr>
      </w:pPr>
    </w:p>
    <w:p w:rsidR="00F6353A" w:rsidRPr="00506D13" w:rsidRDefault="00F6353A">
      <w:pPr>
        <w:widowControl/>
        <w:rPr>
          <w:rFonts w:ascii="Palatino Linotype" w:hAnsi="Palatino Linotype"/>
          <w:sz w:val="24"/>
        </w:rPr>
      </w:pPr>
      <w:r w:rsidRPr="00506D13">
        <w:rPr>
          <w:rFonts w:ascii="Palatino Linotype" w:hAnsi="Palatino Linotype"/>
          <w:b/>
          <w:sz w:val="24"/>
        </w:rPr>
        <w:lastRenderedPageBreak/>
        <w:t>Spending Policy</w:t>
      </w:r>
    </w:p>
    <w:p w:rsidR="00F6353A" w:rsidRPr="00506D13" w:rsidRDefault="00F6353A">
      <w:pPr>
        <w:widowControl/>
        <w:rPr>
          <w:rFonts w:ascii="Palatino Linotype" w:hAnsi="Palatino Linotype"/>
          <w:sz w:val="24"/>
        </w:rPr>
      </w:pPr>
    </w:p>
    <w:p w:rsidR="00F6353A" w:rsidRPr="00506D13" w:rsidRDefault="00F6353A">
      <w:pPr>
        <w:widowControl/>
        <w:ind w:left="720"/>
        <w:jc w:val="both"/>
        <w:rPr>
          <w:rFonts w:ascii="Palatino Linotype" w:hAnsi="Palatino Linotype"/>
          <w:sz w:val="24"/>
        </w:rPr>
      </w:pPr>
      <w:r w:rsidRPr="00506D13">
        <w:rPr>
          <w:rFonts w:ascii="Palatino Linotype" w:hAnsi="Palatino Linotype"/>
          <w:sz w:val="24"/>
        </w:rPr>
        <w:t xml:space="preserve">The Council's operating budget is partially funded with proceeds from the </w:t>
      </w:r>
      <w:r w:rsidR="00187940" w:rsidRPr="00506D13">
        <w:rPr>
          <w:rFonts w:ascii="Palatino Linotype" w:hAnsi="Palatino Linotype"/>
          <w:sz w:val="24"/>
        </w:rPr>
        <w:t>Council</w:t>
      </w:r>
      <w:r w:rsidRPr="00506D13">
        <w:rPr>
          <w:rFonts w:ascii="Palatino Linotype" w:hAnsi="Palatino Linotype"/>
          <w:sz w:val="24"/>
        </w:rPr>
        <w:t xml:space="preserve">.  Annual withdrawals for program spending are not expected to exceed 5% of the </w:t>
      </w:r>
      <w:r w:rsidR="00187940" w:rsidRPr="00506D13">
        <w:rPr>
          <w:rFonts w:ascii="Palatino Linotype" w:hAnsi="Palatino Linotype"/>
          <w:sz w:val="24"/>
        </w:rPr>
        <w:t>Council</w:t>
      </w:r>
      <w:r w:rsidRPr="00506D13">
        <w:rPr>
          <w:rFonts w:ascii="Palatino Linotype" w:hAnsi="Palatino Linotype"/>
          <w:sz w:val="24"/>
        </w:rPr>
        <w:t xml:space="preserve">'s investable asset value on an annual basis.  The 5% spending objective will be determined based on the average market value of the </w:t>
      </w:r>
      <w:r w:rsidR="00187940" w:rsidRPr="00506D13">
        <w:rPr>
          <w:rFonts w:ascii="Palatino Linotype" w:hAnsi="Palatino Linotype"/>
          <w:sz w:val="24"/>
        </w:rPr>
        <w:t>Council</w:t>
      </w:r>
      <w:r w:rsidRPr="00506D13">
        <w:rPr>
          <w:rFonts w:ascii="Palatino Linotype" w:hAnsi="Palatino Linotype"/>
          <w:sz w:val="24"/>
        </w:rPr>
        <w:t xml:space="preserve">'s investable assets (excluding unproductive real estate holdings) at the end of each quarter for the 12 consecutive quarters </w:t>
      </w:r>
      <w:r w:rsidR="00FC5EF0" w:rsidRPr="00506D13">
        <w:rPr>
          <w:rFonts w:ascii="Palatino Linotype" w:hAnsi="Palatino Linotype"/>
          <w:sz w:val="24"/>
        </w:rPr>
        <w:t>proceeding</w:t>
      </w:r>
      <w:r w:rsidRPr="00506D13">
        <w:rPr>
          <w:rFonts w:ascii="Palatino Linotype" w:hAnsi="Palatino Linotype"/>
          <w:sz w:val="24"/>
        </w:rPr>
        <w:t xml:space="preserve"> the calendar year to which the 5% is being applied.  It is recognized that the level of Council spending provided by the </w:t>
      </w:r>
      <w:r w:rsidR="00187940" w:rsidRPr="00506D13">
        <w:rPr>
          <w:rFonts w:ascii="Palatino Linotype" w:hAnsi="Palatino Linotype"/>
          <w:sz w:val="24"/>
        </w:rPr>
        <w:t>Council</w:t>
      </w:r>
      <w:r w:rsidRPr="00506D13">
        <w:rPr>
          <w:rFonts w:ascii="Palatino Linotype" w:hAnsi="Palatino Linotype"/>
          <w:sz w:val="24"/>
        </w:rPr>
        <w:t xml:space="preserve"> directly impacts the </w:t>
      </w:r>
      <w:r w:rsidR="00187940" w:rsidRPr="00506D13">
        <w:rPr>
          <w:rFonts w:ascii="Palatino Linotype" w:hAnsi="Palatino Linotype"/>
          <w:sz w:val="24"/>
        </w:rPr>
        <w:t>Council</w:t>
      </w:r>
      <w:r w:rsidRPr="00506D13">
        <w:rPr>
          <w:rFonts w:ascii="Palatino Linotype" w:hAnsi="Palatino Linotype"/>
          <w:sz w:val="24"/>
        </w:rPr>
        <w:t xml:space="preserve">'s Investment Objectives and Policy.  The </w:t>
      </w:r>
      <w:r w:rsidR="00187940" w:rsidRPr="00506D13">
        <w:rPr>
          <w:rFonts w:ascii="Palatino Linotype" w:hAnsi="Palatino Linotype"/>
          <w:sz w:val="24"/>
        </w:rPr>
        <w:t>Council</w:t>
      </w:r>
      <w:r w:rsidRPr="00506D13">
        <w:rPr>
          <w:rFonts w:ascii="Palatino Linotype" w:hAnsi="Palatino Linotype"/>
          <w:sz w:val="24"/>
        </w:rPr>
        <w:t xml:space="preserve">'s spending policy, as a percentage of the </w:t>
      </w:r>
      <w:r w:rsidR="00187940" w:rsidRPr="00506D13">
        <w:rPr>
          <w:rFonts w:ascii="Palatino Linotype" w:hAnsi="Palatino Linotype"/>
          <w:sz w:val="24"/>
        </w:rPr>
        <w:t>Council</w:t>
      </w:r>
      <w:r w:rsidRPr="00506D13">
        <w:rPr>
          <w:rFonts w:ascii="Palatino Linotype" w:hAnsi="Palatino Linotype"/>
          <w:sz w:val="24"/>
        </w:rPr>
        <w:t xml:space="preserve">'s investable asset value, is a key consideration in establishing the </w:t>
      </w:r>
      <w:r w:rsidR="00187940" w:rsidRPr="00506D13">
        <w:rPr>
          <w:rFonts w:ascii="Palatino Linotype" w:hAnsi="Palatino Linotype"/>
          <w:sz w:val="24"/>
        </w:rPr>
        <w:t>Council</w:t>
      </w:r>
      <w:r w:rsidRPr="00506D13">
        <w:rPr>
          <w:rFonts w:ascii="Palatino Linotype" w:hAnsi="Palatino Linotype"/>
          <w:sz w:val="24"/>
        </w:rPr>
        <w:t xml:space="preserve">'s Investment Objectives and Policy.  </w:t>
      </w:r>
    </w:p>
    <w:p w:rsidR="00F6353A" w:rsidRPr="00506D13" w:rsidRDefault="00F6353A">
      <w:pPr>
        <w:widowControl/>
        <w:ind w:left="720"/>
        <w:jc w:val="both"/>
        <w:rPr>
          <w:rFonts w:ascii="Palatino Linotype" w:hAnsi="Palatino Linotype"/>
          <w:sz w:val="24"/>
        </w:rPr>
      </w:pPr>
    </w:p>
    <w:p w:rsidR="00F6353A" w:rsidRPr="00506D13" w:rsidRDefault="00F6353A">
      <w:pPr>
        <w:widowControl/>
        <w:ind w:left="720"/>
        <w:jc w:val="both"/>
        <w:rPr>
          <w:rFonts w:ascii="Palatino Linotype" w:hAnsi="Palatino Linotype"/>
          <w:sz w:val="24"/>
        </w:rPr>
      </w:pPr>
      <w:r w:rsidRPr="00506D13">
        <w:rPr>
          <w:rFonts w:ascii="Palatino Linotype" w:hAnsi="Palatino Linotype"/>
          <w:sz w:val="24"/>
        </w:rPr>
        <w:t xml:space="preserve">In this respect, "investable assets" will include all balance sheet assets except non-income producing assets and assets representing investments of the Council Operating Reserve custodial funds.  This definition of investable assets will be used as "the fund" hereafter in the sections concerning assumptions and goals, objectives and policies, asset allocations, and monitoring and control.  </w:t>
      </w:r>
    </w:p>
    <w:p w:rsidR="00F6353A" w:rsidRPr="00506D13" w:rsidRDefault="00F6353A">
      <w:pPr>
        <w:widowControl/>
        <w:ind w:left="720"/>
        <w:jc w:val="both"/>
        <w:rPr>
          <w:rFonts w:ascii="Palatino Linotype" w:hAnsi="Palatino Linotype"/>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 xml:space="preserve">Assumptions and Goals </w:t>
      </w:r>
    </w:p>
    <w:p w:rsidR="00F6353A" w:rsidRPr="00506D13" w:rsidRDefault="00F6353A">
      <w:pPr>
        <w:widowControl/>
        <w:ind w:left="720"/>
        <w:jc w:val="both"/>
        <w:rPr>
          <w:rFonts w:ascii="Palatino Linotype" w:hAnsi="Palatino Linotype"/>
          <w:sz w:val="24"/>
        </w:rPr>
      </w:pPr>
    </w:p>
    <w:p w:rsidR="00F6353A" w:rsidRPr="00506D13" w:rsidRDefault="00F6353A">
      <w:pPr>
        <w:widowControl/>
        <w:ind w:left="720"/>
        <w:jc w:val="both"/>
        <w:rPr>
          <w:rFonts w:ascii="Palatino Linotype" w:hAnsi="Palatino Linotype"/>
          <w:sz w:val="24"/>
        </w:rPr>
      </w:pPr>
      <w:r w:rsidRPr="00506D13">
        <w:rPr>
          <w:rFonts w:ascii="Palatino Linotype" w:hAnsi="Palatino Linotype"/>
          <w:sz w:val="24"/>
        </w:rPr>
        <w:t xml:space="preserve">As a long-term operating </w:t>
      </w:r>
      <w:r w:rsidR="00187940" w:rsidRPr="00506D13">
        <w:rPr>
          <w:rFonts w:ascii="Palatino Linotype" w:hAnsi="Palatino Linotype"/>
          <w:sz w:val="24"/>
        </w:rPr>
        <w:t>Council</w:t>
      </w:r>
      <w:r w:rsidRPr="00506D13">
        <w:rPr>
          <w:rFonts w:ascii="Palatino Linotype" w:hAnsi="Palatino Linotype"/>
          <w:sz w:val="24"/>
        </w:rPr>
        <w:t xml:space="preserve">, the </w:t>
      </w:r>
      <w:r w:rsidR="00187940" w:rsidRPr="00506D13">
        <w:rPr>
          <w:rFonts w:ascii="Palatino Linotype" w:hAnsi="Palatino Linotype"/>
          <w:sz w:val="24"/>
        </w:rPr>
        <w:t>Council</w:t>
      </w:r>
      <w:r w:rsidRPr="00506D13">
        <w:rPr>
          <w:rFonts w:ascii="Palatino Linotype" w:hAnsi="Palatino Linotype"/>
          <w:sz w:val="24"/>
        </w:rPr>
        <w:t xml:space="preserve">'s Trustees recognize that the time horizon for the fund is very long-term.  The intent of the </w:t>
      </w:r>
      <w:r w:rsidR="00187940" w:rsidRPr="00506D13">
        <w:rPr>
          <w:rFonts w:ascii="Palatino Linotype" w:hAnsi="Palatino Linotype"/>
          <w:sz w:val="24"/>
        </w:rPr>
        <w:t>Council</w:t>
      </w:r>
      <w:r w:rsidRPr="00506D13">
        <w:rPr>
          <w:rFonts w:ascii="Palatino Linotype" w:hAnsi="Palatino Linotype"/>
          <w:sz w:val="24"/>
        </w:rPr>
        <w:t xml:space="preserve"> is to remain in operation in perpetuity.  Therefore, long-term investment goals are the primary concern of the investment policy.  Within this primary objective, the specific goals of the fund include: </w:t>
      </w:r>
    </w:p>
    <w:p w:rsidR="00F6353A" w:rsidRPr="00506D13" w:rsidRDefault="00F6353A">
      <w:pPr>
        <w:widowControl/>
        <w:ind w:left="720"/>
        <w:jc w:val="both"/>
        <w:rPr>
          <w:rFonts w:ascii="Palatino Linotype" w:hAnsi="Palatino Linotype"/>
          <w:sz w:val="24"/>
        </w:rPr>
      </w:pP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1.</w:t>
      </w:r>
      <w:r w:rsidRPr="00506D13">
        <w:rPr>
          <w:rFonts w:ascii="Palatino Linotype" w:hAnsi="Palatino Linotype"/>
          <w:sz w:val="24"/>
        </w:rPr>
        <w:tab/>
        <w:t xml:space="preserve">Grow </w:t>
      </w:r>
      <w:r w:rsidR="00187940" w:rsidRPr="00506D13">
        <w:rPr>
          <w:rFonts w:ascii="Palatino Linotype" w:hAnsi="Palatino Linotype"/>
          <w:sz w:val="24"/>
        </w:rPr>
        <w:t>Council</w:t>
      </w:r>
      <w:r w:rsidRPr="00506D13">
        <w:rPr>
          <w:rFonts w:ascii="Palatino Linotype" w:hAnsi="Palatino Linotype"/>
          <w:sz w:val="24"/>
        </w:rPr>
        <w:t xml:space="preserve"> assets at a rate equal to the nominal spending objective, the rate of inflation, and investment fees and expenses over the long-term.  </w:t>
      </w: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2.</w:t>
      </w:r>
      <w:r w:rsidRPr="00506D13">
        <w:rPr>
          <w:rFonts w:ascii="Palatino Linotype" w:hAnsi="Palatino Linotype"/>
          <w:sz w:val="24"/>
        </w:rPr>
        <w:tab/>
        <w:t xml:space="preserve">The Program will focus on total return without regard to whether that return is in the form of income or capital gains.  </w:t>
      </w:r>
    </w:p>
    <w:p w:rsidR="00F6353A" w:rsidRPr="00506D13" w:rsidRDefault="00F6353A">
      <w:pPr>
        <w:widowControl/>
        <w:rPr>
          <w:rFonts w:ascii="Palatino Linotype" w:hAnsi="Palatino Linotype"/>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lastRenderedPageBreak/>
        <w:t xml:space="preserve">Objectives and Policies </w:t>
      </w:r>
    </w:p>
    <w:p w:rsidR="00F6353A" w:rsidRPr="00506D13" w:rsidRDefault="00F6353A">
      <w:pPr>
        <w:widowControl/>
        <w:rPr>
          <w:rFonts w:ascii="Palatino Linotype" w:hAnsi="Palatino Linotype"/>
          <w:sz w:val="24"/>
        </w:rPr>
      </w:pP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1.</w:t>
      </w:r>
      <w:r w:rsidRPr="00506D13">
        <w:rPr>
          <w:rFonts w:ascii="Palatino Linotype" w:hAnsi="Palatino Linotype"/>
          <w:sz w:val="24"/>
        </w:rPr>
        <w:tab/>
        <w:t xml:space="preserve">Achieve rates of return on the total fund in excess of the stated Policy Mix (see Asset Allocation) on a net-of-fee basis over a long time horizon.  </w:t>
      </w: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2.</w:t>
      </w:r>
      <w:r w:rsidRPr="00506D13">
        <w:rPr>
          <w:rFonts w:ascii="Palatino Linotype" w:hAnsi="Palatino Linotype"/>
          <w:sz w:val="24"/>
        </w:rPr>
        <w:tab/>
        <w:t xml:space="preserve">Maintain an asset allocation policy of 55% to 75% equities (US and non-US stocks.) </w:t>
      </w: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3.</w:t>
      </w:r>
      <w:r w:rsidRPr="00506D13">
        <w:rPr>
          <w:rFonts w:ascii="Palatino Linotype" w:hAnsi="Palatino Linotype"/>
          <w:sz w:val="24"/>
        </w:rPr>
        <w:tab/>
        <w:t xml:space="preserve">Comply with existing and future applicable state and federal regulations for tax exempt private operation </w:t>
      </w:r>
      <w:r w:rsidR="00187940" w:rsidRPr="00506D13">
        <w:rPr>
          <w:rFonts w:ascii="Palatino Linotype" w:hAnsi="Palatino Linotype"/>
          <w:sz w:val="24"/>
        </w:rPr>
        <w:t>Council</w:t>
      </w:r>
      <w:r w:rsidRPr="00506D13">
        <w:rPr>
          <w:rFonts w:ascii="Palatino Linotype" w:hAnsi="Palatino Linotype"/>
          <w:sz w:val="24"/>
        </w:rPr>
        <w:t xml:space="preserve">s.  </w:t>
      </w: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4.</w:t>
      </w:r>
      <w:r w:rsidRPr="00506D13">
        <w:rPr>
          <w:rFonts w:ascii="Palatino Linotype" w:hAnsi="Palatino Linotype"/>
          <w:sz w:val="24"/>
        </w:rPr>
        <w:tab/>
        <w:t xml:space="preserve">Cash reserves are established </w:t>
      </w:r>
      <w:r w:rsidR="009A39AE" w:rsidRPr="00506D13">
        <w:rPr>
          <w:rFonts w:ascii="Palatino Linotype" w:hAnsi="Palatino Linotype"/>
          <w:sz w:val="24"/>
        </w:rPr>
        <w:t xml:space="preserve">from time to time </w:t>
      </w:r>
      <w:r w:rsidRPr="00506D13">
        <w:rPr>
          <w:rFonts w:ascii="Palatino Linotype" w:hAnsi="Palatino Linotype"/>
          <w:sz w:val="24"/>
        </w:rPr>
        <w:t xml:space="preserve">to meet the Program's liquidity requirements.  </w:t>
      </w: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5.</w:t>
      </w:r>
      <w:r w:rsidRPr="00506D13">
        <w:rPr>
          <w:rFonts w:ascii="Palatino Linotype" w:hAnsi="Palatino Linotype"/>
          <w:sz w:val="24"/>
        </w:rPr>
        <w:tab/>
        <w:t xml:space="preserve">Periodically rebalance the fund's actual asset allocation to its </w:t>
      </w:r>
      <w:r w:rsidR="009A39AE" w:rsidRPr="00506D13">
        <w:rPr>
          <w:rFonts w:ascii="Palatino Linotype" w:hAnsi="Palatino Linotype"/>
          <w:sz w:val="24"/>
        </w:rPr>
        <w:t xml:space="preserve">target </w:t>
      </w:r>
      <w:r w:rsidRPr="00506D13">
        <w:rPr>
          <w:rFonts w:ascii="Palatino Linotype" w:hAnsi="Palatino Linotype"/>
          <w:sz w:val="24"/>
        </w:rPr>
        <w:t>asset allocation (see below)</w:t>
      </w:r>
      <w:r w:rsidR="00187940" w:rsidRPr="00506D13">
        <w:rPr>
          <w:rFonts w:ascii="Palatino Linotype" w:hAnsi="Palatino Linotype"/>
          <w:sz w:val="24"/>
        </w:rPr>
        <w:t>.</w:t>
      </w:r>
      <w:r w:rsidRPr="00506D13">
        <w:rPr>
          <w:rFonts w:ascii="Palatino Linotype" w:hAnsi="Palatino Linotype"/>
          <w:sz w:val="24"/>
        </w:rPr>
        <w:t xml:space="preserve">   </w:t>
      </w:r>
      <w:r w:rsidR="009A39AE" w:rsidRPr="00506D13">
        <w:rPr>
          <w:rFonts w:ascii="Palatino Linotype" w:hAnsi="Palatino Linotype"/>
          <w:sz w:val="24"/>
        </w:rPr>
        <w:t xml:space="preserve">It is expected that such rebalancing will occur when the actual asset allocation is plus or minus 5% from the target </w:t>
      </w:r>
      <w:r w:rsidR="008E558E" w:rsidRPr="00506D13">
        <w:rPr>
          <w:rFonts w:ascii="Palatino Linotype" w:hAnsi="Palatino Linotype"/>
          <w:sz w:val="24"/>
        </w:rPr>
        <w:t>allowance</w:t>
      </w:r>
      <w:r w:rsidR="009A39AE" w:rsidRPr="00506D13">
        <w:rPr>
          <w:rFonts w:ascii="Palatino Linotype" w:hAnsi="Palatino Linotype"/>
          <w:sz w:val="24"/>
        </w:rPr>
        <w:t xml:space="preserve">, but it may also occur at other times.  </w:t>
      </w:r>
      <w:r w:rsidRPr="00506D13">
        <w:rPr>
          <w:rFonts w:ascii="Palatino Linotype" w:hAnsi="Palatino Linotype"/>
          <w:sz w:val="24"/>
        </w:rPr>
        <w:t xml:space="preserve">Asset rebalancing activities will consider the </w:t>
      </w:r>
      <w:r w:rsidR="00187940" w:rsidRPr="00506D13">
        <w:rPr>
          <w:rFonts w:ascii="Palatino Linotype" w:hAnsi="Palatino Linotype"/>
          <w:sz w:val="24"/>
        </w:rPr>
        <w:t>Council</w:t>
      </w:r>
      <w:r w:rsidRPr="00506D13">
        <w:rPr>
          <w:rFonts w:ascii="Palatino Linotype" w:hAnsi="Palatino Linotype"/>
          <w:sz w:val="24"/>
        </w:rPr>
        <w:t xml:space="preserve">'s liquidity requirements and the impact of transaction costs.  </w:t>
      </w:r>
    </w:p>
    <w:p w:rsidR="00187940" w:rsidRPr="00506D13" w:rsidRDefault="00187940">
      <w:pPr>
        <w:widowControl/>
        <w:tabs>
          <w:tab w:val="left" w:pos="1260"/>
        </w:tabs>
        <w:ind w:left="1260" w:hanging="540"/>
        <w:jc w:val="both"/>
        <w:rPr>
          <w:rFonts w:ascii="Palatino Linotype" w:hAnsi="Palatino Linotype"/>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Asset Allocation</w:t>
      </w:r>
    </w:p>
    <w:p w:rsidR="00F6353A" w:rsidRPr="00506D13" w:rsidRDefault="00F6353A">
      <w:pPr>
        <w:widowControl/>
        <w:rPr>
          <w:rFonts w:ascii="Palatino Linotype" w:hAnsi="Palatino Linotype"/>
          <w:b/>
          <w:sz w:val="24"/>
        </w:rPr>
      </w:pP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1.</w:t>
      </w:r>
      <w:r w:rsidRPr="00506D13">
        <w:rPr>
          <w:rFonts w:ascii="Palatino Linotype" w:hAnsi="Palatino Linotype"/>
          <w:sz w:val="24"/>
        </w:rPr>
        <w:tab/>
        <w:t xml:space="preserve">The fund seeks to maximize returns by maintaining a significant equity commitment.  Asset class policy ranges and target allocations (the "Policy Mix") are outlined in the table below: </w:t>
      </w:r>
    </w:p>
    <w:p w:rsidR="00F6353A" w:rsidRPr="00506D13" w:rsidRDefault="00F6353A">
      <w:pPr>
        <w:widowControl/>
        <w:rPr>
          <w:rFonts w:ascii="Palatino Linotype" w:hAnsi="Palatino Linotype"/>
          <w:sz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378"/>
        <w:gridCol w:w="3940"/>
        <w:gridCol w:w="1800"/>
        <w:gridCol w:w="1458"/>
      </w:tblGrid>
      <w:tr w:rsidR="00F6353A" w:rsidRPr="00506D13">
        <w:tblPrEx>
          <w:tblCellMar>
            <w:top w:w="0" w:type="dxa"/>
            <w:bottom w:w="0" w:type="dxa"/>
          </w:tblCellMar>
        </w:tblPrEx>
        <w:trPr>
          <w:trHeight w:val="504"/>
        </w:trPr>
        <w:tc>
          <w:tcPr>
            <w:tcW w:w="2378" w:type="dxa"/>
            <w:tcBorders>
              <w:top w:val="double" w:sz="4" w:space="0" w:color="auto"/>
              <w:bottom w:val="single" w:sz="4" w:space="0" w:color="auto"/>
            </w:tcBorders>
            <w:shd w:val="pct20" w:color="auto" w:fill="FFFFFF"/>
            <w:vAlign w:val="center"/>
          </w:tcPr>
          <w:p w:rsidR="00F6353A" w:rsidRPr="00506D13" w:rsidRDefault="00F6353A">
            <w:pPr>
              <w:widowControl/>
              <w:rPr>
                <w:rFonts w:ascii="Palatino Linotype" w:hAnsi="Palatino Linotype"/>
                <w:b/>
                <w:sz w:val="24"/>
              </w:rPr>
            </w:pPr>
            <w:r w:rsidRPr="00506D13">
              <w:rPr>
                <w:rFonts w:ascii="Palatino Linotype" w:hAnsi="Palatino Linotype"/>
                <w:b/>
                <w:sz w:val="24"/>
              </w:rPr>
              <w:t>Asset Class</w:t>
            </w:r>
          </w:p>
        </w:tc>
        <w:tc>
          <w:tcPr>
            <w:tcW w:w="3940" w:type="dxa"/>
            <w:tcBorders>
              <w:top w:val="double" w:sz="4" w:space="0" w:color="auto"/>
              <w:bottom w:val="single" w:sz="4" w:space="0" w:color="auto"/>
            </w:tcBorders>
            <w:shd w:val="pct20" w:color="auto" w:fill="FFFFFF"/>
            <w:vAlign w:val="center"/>
          </w:tcPr>
          <w:p w:rsidR="00F6353A" w:rsidRPr="00506D13" w:rsidRDefault="00F6353A">
            <w:pPr>
              <w:widowControl/>
              <w:jc w:val="center"/>
              <w:rPr>
                <w:rFonts w:ascii="Palatino Linotype" w:hAnsi="Palatino Linotype"/>
                <w:b/>
                <w:sz w:val="24"/>
              </w:rPr>
            </w:pPr>
            <w:r w:rsidRPr="00506D13">
              <w:rPr>
                <w:rFonts w:ascii="Palatino Linotype" w:hAnsi="Palatino Linotype"/>
                <w:b/>
                <w:sz w:val="24"/>
              </w:rPr>
              <w:t>Benchmark</w:t>
            </w:r>
          </w:p>
        </w:tc>
        <w:tc>
          <w:tcPr>
            <w:tcW w:w="1800" w:type="dxa"/>
            <w:tcBorders>
              <w:top w:val="double" w:sz="4" w:space="0" w:color="auto"/>
              <w:bottom w:val="single" w:sz="4" w:space="0" w:color="auto"/>
            </w:tcBorders>
            <w:shd w:val="pct20" w:color="auto" w:fill="FFFFFF"/>
            <w:vAlign w:val="center"/>
          </w:tcPr>
          <w:p w:rsidR="00F6353A" w:rsidRPr="00506D13" w:rsidRDefault="00F6353A">
            <w:pPr>
              <w:widowControl/>
              <w:jc w:val="center"/>
              <w:rPr>
                <w:rFonts w:ascii="Palatino Linotype" w:hAnsi="Palatino Linotype"/>
                <w:b/>
                <w:sz w:val="24"/>
              </w:rPr>
            </w:pPr>
            <w:smartTag w:uri="urn:schemas-microsoft-com:office:smarttags" w:element="place">
              <w:smartTag w:uri="urn:schemas-microsoft-com:office:smarttags" w:element="PlaceName">
                <w:r w:rsidRPr="00506D13">
                  <w:rPr>
                    <w:rFonts w:ascii="Palatino Linotype" w:hAnsi="Palatino Linotype"/>
                    <w:b/>
                    <w:sz w:val="24"/>
                  </w:rPr>
                  <w:t>Policy</w:t>
                </w:r>
              </w:smartTag>
              <w:r w:rsidRPr="00506D13">
                <w:rPr>
                  <w:rFonts w:ascii="Palatino Linotype" w:hAnsi="Palatino Linotype"/>
                  <w:b/>
                  <w:sz w:val="24"/>
                </w:rPr>
                <w:t xml:space="preserve"> </w:t>
              </w:r>
              <w:smartTag w:uri="urn:schemas-microsoft-com:office:smarttags" w:element="PlaceType">
                <w:r w:rsidRPr="00506D13">
                  <w:rPr>
                    <w:rFonts w:ascii="Palatino Linotype" w:hAnsi="Palatino Linotype"/>
                    <w:b/>
                    <w:sz w:val="24"/>
                  </w:rPr>
                  <w:t>Range</w:t>
                </w:r>
              </w:smartTag>
            </w:smartTag>
          </w:p>
        </w:tc>
        <w:tc>
          <w:tcPr>
            <w:tcW w:w="1458" w:type="dxa"/>
            <w:tcBorders>
              <w:top w:val="double" w:sz="4" w:space="0" w:color="auto"/>
              <w:bottom w:val="single" w:sz="4" w:space="0" w:color="auto"/>
            </w:tcBorders>
            <w:shd w:val="pct20" w:color="auto" w:fill="FFFFFF"/>
            <w:vAlign w:val="center"/>
          </w:tcPr>
          <w:p w:rsidR="00F6353A" w:rsidRPr="00506D13" w:rsidRDefault="00F6353A">
            <w:pPr>
              <w:widowControl/>
              <w:jc w:val="center"/>
              <w:rPr>
                <w:rFonts w:ascii="Palatino Linotype" w:hAnsi="Palatino Linotype"/>
                <w:b/>
                <w:sz w:val="24"/>
              </w:rPr>
            </w:pPr>
            <w:r w:rsidRPr="00506D13">
              <w:rPr>
                <w:rFonts w:ascii="Palatino Linotype" w:hAnsi="Palatino Linotype"/>
                <w:b/>
                <w:sz w:val="24"/>
              </w:rPr>
              <w:t>Target Allocation</w:t>
            </w:r>
          </w:p>
        </w:tc>
      </w:tr>
      <w:tr w:rsidR="00F6353A" w:rsidRPr="00506D13">
        <w:tblPrEx>
          <w:tblCellMar>
            <w:top w:w="0" w:type="dxa"/>
            <w:bottom w:w="0" w:type="dxa"/>
          </w:tblCellMar>
        </w:tblPrEx>
        <w:trPr>
          <w:trHeight w:val="504"/>
        </w:trPr>
        <w:tc>
          <w:tcPr>
            <w:tcW w:w="2378" w:type="dxa"/>
            <w:tcBorders>
              <w:top w:val="single" w:sz="4" w:space="0" w:color="auto"/>
              <w:bottom w:val="single" w:sz="4" w:space="0" w:color="auto"/>
            </w:tcBorders>
            <w:vAlign w:val="center"/>
          </w:tcPr>
          <w:p w:rsidR="00F6353A" w:rsidRPr="00506D13" w:rsidRDefault="00F6353A">
            <w:pPr>
              <w:widowControl/>
              <w:rPr>
                <w:rFonts w:ascii="Palatino Linotype" w:hAnsi="Palatino Linotype"/>
                <w:sz w:val="24"/>
              </w:rPr>
            </w:pPr>
            <w:r w:rsidRPr="00506D13">
              <w:rPr>
                <w:rFonts w:ascii="Palatino Linotype" w:hAnsi="Palatino Linotype"/>
                <w:sz w:val="24"/>
              </w:rPr>
              <w:t>US Equities</w:t>
            </w:r>
          </w:p>
        </w:tc>
        <w:tc>
          <w:tcPr>
            <w:tcW w:w="3940" w:type="dxa"/>
            <w:tcBorders>
              <w:top w:val="single" w:sz="4" w:space="0" w:color="auto"/>
              <w:bottom w:val="single" w:sz="4" w:space="0" w:color="auto"/>
            </w:tcBorders>
            <w:vAlign w:val="center"/>
          </w:tcPr>
          <w:p w:rsidR="00F6353A" w:rsidRPr="00506D13" w:rsidRDefault="00F6353A">
            <w:pPr>
              <w:widowControl/>
              <w:rPr>
                <w:rFonts w:ascii="Palatino Linotype" w:hAnsi="Palatino Linotype"/>
                <w:sz w:val="24"/>
              </w:rPr>
            </w:pPr>
            <w:r w:rsidRPr="00506D13">
              <w:rPr>
                <w:rFonts w:ascii="Palatino Linotype" w:hAnsi="Palatino Linotype"/>
                <w:sz w:val="24"/>
              </w:rPr>
              <w:t>Russell 3000 Index</w:t>
            </w:r>
          </w:p>
        </w:tc>
        <w:tc>
          <w:tcPr>
            <w:tcW w:w="1800" w:type="dxa"/>
            <w:tcBorders>
              <w:top w:val="single" w:sz="4" w:space="0" w:color="auto"/>
              <w:bottom w:val="single" w:sz="4" w:space="0" w:color="auto"/>
            </w:tcBorders>
            <w:vAlign w:val="center"/>
          </w:tcPr>
          <w:p w:rsidR="00F6353A" w:rsidRPr="00506D13" w:rsidRDefault="00EE041D">
            <w:pPr>
              <w:widowControl/>
              <w:rPr>
                <w:rFonts w:ascii="Palatino Linotype" w:hAnsi="Palatino Linotype"/>
                <w:sz w:val="24"/>
              </w:rPr>
            </w:pPr>
            <w:r w:rsidRPr="00506D13">
              <w:rPr>
                <w:rFonts w:ascii="Palatino Linotype" w:hAnsi="Palatino Linotype"/>
                <w:sz w:val="24"/>
              </w:rPr>
              <w:t xml:space="preserve">35% to </w:t>
            </w:r>
            <w:r w:rsidR="00187940" w:rsidRPr="00506D13">
              <w:rPr>
                <w:rFonts w:ascii="Palatino Linotype" w:hAnsi="Palatino Linotype"/>
                <w:sz w:val="24"/>
              </w:rPr>
              <w:t>4</w:t>
            </w:r>
            <w:r w:rsidR="00FD1148" w:rsidRPr="00506D13">
              <w:rPr>
                <w:rFonts w:ascii="Palatino Linotype" w:hAnsi="Palatino Linotype"/>
                <w:i/>
                <w:sz w:val="24"/>
                <w:szCs w:val="24"/>
              </w:rPr>
              <w:t>5%</w:t>
            </w:r>
          </w:p>
        </w:tc>
        <w:tc>
          <w:tcPr>
            <w:tcW w:w="1458" w:type="dxa"/>
            <w:tcBorders>
              <w:top w:val="single" w:sz="4" w:space="0" w:color="auto"/>
              <w:bottom w:val="single" w:sz="4" w:space="0" w:color="auto"/>
            </w:tcBorders>
            <w:vAlign w:val="center"/>
          </w:tcPr>
          <w:p w:rsidR="00F6353A" w:rsidRPr="00506D13" w:rsidRDefault="00EE041D">
            <w:pPr>
              <w:widowControl/>
              <w:jc w:val="center"/>
              <w:rPr>
                <w:rFonts w:ascii="Palatino Linotype" w:hAnsi="Palatino Linotype"/>
                <w:sz w:val="24"/>
              </w:rPr>
            </w:pPr>
            <w:r w:rsidRPr="00506D13">
              <w:rPr>
                <w:rFonts w:ascii="Palatino Linotype" w:hAnsi="Palatino Linotype"/>
                <w:sz w:val="24"/>
              </w:rPr>
              <w:t>40</w:t>
            </w:r>
            <w:r w:rsidR="00F6353A" w:rsidRPr="00506D13">
              <w:rPr>
                <w:rFonts w:ascii="Palatino Linotype" w:hAnsi="Palatino Linotype"/>
                <w:sz w:val="24"/>
              </w:rPr>
              <w:t>%</w:t>
            </w:r>
          </w:p>
        </w:tc>
      </w:tr>
      <w:tr w:rsidR="00F6353A" w:rsidRPr="00506D13">
        <w:tblPrEx>
          <w:tblCellMar>
            <w:top w:w="0" w:type="dxa"/>
            <w:bottom w:w="0" w:type="dxa"/>
          </w:tblCellMar>
        </w:tblPrEx>
        <w:trPr>
          <w:trHeight w:val="504"/>
        </w:trPr>
        <w:tc>
          <w:tcPr>
            <w:tcW w:w="2378" w:type="dxa"/>
            <w:tcBorders>
              <w:top w:val="single" w:sz="4" w:space="0" w:color="auto"/>
              <w:bottom w:val="single" w:sz="4" w:space="0" w:color="auto"/>
            </w:tcBorders>
            <w:vAlign w:val="center"/>
          </w:tcPr>
          <w:p w:rsidR="00F6353A" w:rsidRPr="00506D13" w:rsidRDefault="00F6353A">
            <w:pPr>
              <w:widowControl/>
              <w:rPr>
                <w:rFonts w:ascii="Palatino Linotype" w:hAnsi="Palatino Linotype"/>
                <w:sz w:val="24"/>
              </w:rPr>
            </w:pPr>
            <w:r w:rsidRPr="00506D13">
              <w:rPr>
                <w:rFonts w:ascii="Palatino Linotype" w:hAnsi="Palatino Linotype"/>
                <w:sz w:val="24"/>
              </w:rPr>
              <w:t>Non-US Equities</w:t>
            </w:r>
          </w:p>
        </w:tc>
        <w:tc>
          <w:tcPr>
            <w:tcW w:w="3940" w:type="dxa"/>
            <w:tcBorders>
              <w:top w:val="single" w:sz="4" w:space="0" w:color="auto"/>
              <w:bottom w:val="single" w:sz="4" w:space="0" w:color="auto"/>
            </w:tcBorders>
            <w:vAlign w:val="center"/>
          </w:tcPr>
          <w:p w:rsidR="00F6353A" w:rsidRPr="00506D13" w:rsidRDefault="00F6353A">
            <w:pPr>
              <w:widowControl/>
              <w:rPr>
                <w:rFonts w:ascii="Palatino Linotype" w:hAnsi="Palatino Linotype"/>
                <w:sz w:val="24"/>
              </w:rPr>
            </w:pPr>
            <w:r w:rsidRPr="00506D13">
              <w:rPr>
                <w:rFonts w:ascii="Palatino Linotype" w:hAnsi="Palatino Linotype"/>
                <w:sz w:val="24"/>
              </w:rPr>
              <w:t>90% MSCI EAFE Index</w:t>
            </w:r>
          </w:p>
          <w:p w:rsidR="00F6353A" w:rsidRPr="00506D13" w:rsidRDefault="00F6353A">
            <w:pPr>
              <w:widowControl/>
              <w:rPr>
                <w:rFonts w:ascii="Palatino Linotype" w:hAnsi="Palatino Linotype"/>
                <w:sz w:val="24"/>
              </w:rPr>
            </w:pPr>
            <w:r w:rsidRPr="00506D13">
              <w:rPr>
                <w:rFonts w:ascii="Palatino Linotype" w:hAnsi="Palatino Linotype"/>
                <w:sz w:val="24"/>
              </w:rPr>
              <w:t>10% MSCI Emerging Markets Free</w:t>
            </w:r>
          </w:p>
        </w:tc>
        <w:tc>
          <w:tcPr>
            <w:tcW w:w="1800" w:type="dxa"/>
            <w:tcBorders>
              <w:top w:val="single" w:sz="4" w:space="0" w:color="auto"/>
              <w:bottom w:val="single" w:sz="4" w:space="0" w:color="auto"/>
            </w:tcBorders>
            <w:vAlign w:val="center"/>
          </w:tcPr>
          <w:p w:rsidR="00F6353A" w:rsidRPr="00506D13" w:rsidRDefault="00FD1148">
            <w:pPr>
              <w:widowControl/>
              <w:rPr>
                <w:rFonts w:ascii="Palatino Linotype" w:hAnsi="Palatino Linotype"/>
                <w:sz w:val="24"/>
              </w:rPr>
            </w:pPr>
            <w:r w:rsidRPr="00506D13">
              <w:rPr>
                <w:rFonts w:ascii="Palatino Linotype" w:hAnsi="Palatino Linotype"/>
                <w:i/>
                <w:sz w:val="24"/>
              </w:rPr>
              <w:t>2</w:t>
            </w:r>
            <w:r w:rsidR="00187940" w:rsidRPr="00506D13">
              <w:rPr>
                <w:rFonts w:ascii="Palatino Linotype" w:hAnsi="Palatino Linotype"/>
                <w:i/>
                <w:sz w:val="24"/>
              </w:rPr>
              <w:t>5</w:t>
            </w:r>
            <w:r w:rsidRPr="00506D13">
              <w:rPr>
                <w:rFonts w:ascii="Palatino Linotype" w:hAnsi="Palatino Linotype"/>
                <w:i/>
                <w:sz w:val="24"/>
              </w:rPr>
              <w:t>%</w:t>
            </w:r>
            <w:r w:rsidRPr="00506D13">
              <w:rPr>
                <w:rFonts w:ascii="Palatino Linotype" w:hAnsi="Palatino Linotype"/>
                <w:sz w:val="24"/>
              </w:rPr>
              <w:t xml:space="preserve"> </w:t>
            </w:r>
            <w:r w:rsidR="00F6353A" w:rsidRPr="00506D13">
              <w:rPr>
                <w:rFonts w:ascii="Palatino Linotype" w:hAnsi="Palatino Linotype"/>
                <w:sz w:val="24"/>
              </w:rPr>
              <w:t xml:space="preserve">to </w:t>
            </w:r>
            <w:r w:rsidR="00EE041D" w:rsidRPr="00506D13">
              <w:rPr>
                <w:rFonts w:ascii="Palatino Linotype" w:hAnsi="Palatino Linotype"/>
                <w:sz w:val="24"/>
              </w:rPr>
              <w:t>3</w:t>
            </w:r>
            <w:r w:rsidR="00187940" w:rsidRPr="00506D13">
              <w:rPr>
                <w:rFonts w:ascii="Palatino Linotype" w:hAnsi="Palatino Linotype"/>
                <w:sz w:val="24"/>
              </w:rPr>
              <w:t>5</w:t>
            </w:r>
            <w:r w:rsidR="00F6353A" w:rsidRPr="00506D13">
              <w:rPr>
                <w:rFonts w:ascii="Palatino Linotype" w:hAnsi="Palatino Linotype"/>
                <w:sz w:val="24"/>
              </w:rPr>
              <w:t>%</w:t>
            </w:r>
          </w:p>
        </w:tc>
        <w:tc>
          <w:tcPr>
            <w:tcW w:w="1458" w:type="dxa"/>
            <w:tcBorders>
              <w:top w:val="single" w:sz="4" w:space="0" w:color="auto"/>
              <w:bottom w:val="single" w:sz="4" w:space="0" w:color="auto"/>
            </w:tcBorders>
            <w:vAlign w:val="center"/>
          </w:tcPr>
          <w:p w:rsidR="00F6353A" w:rsidRPr="00506D13" w:rsidRDefault="00187940">
            <w:pPr>
              <w:widowControl/>
              <w:jc w:val="center"/>
              <w:rPr>
                <w:rFonts w:ascii="Palatino Linotype" w:hAnsi="Palatino Linotype"/>
                <w:sz w:val="24"/>
              </w:rPr>
            </w:pPr>
            <w:r w:rsidRPr="00506D13">
              <w:rPr>
                <w:rFonts w:ascii="Palatino Linotype" w:hAnsi="Palatino Linotype"/>
                <w:sz w:val="24"/>
              </w:rPr>
              <w:t>30</w:t>
            </w:r>
            <w:r w:rsidR="00F6353A" w:rsidRPr="00506D13">
              <w:rPr>
                <w:rFonts w:ascii="Palatino Linotype" w:hAnsi="Palatino Linotype"/>
                <w:sz w:val="24"/>
              </w:rPr>
              <w:t>%</w:t>
            </w:r>
          </w:p>
        </w:tc>
      </w:tr>
      <w:tr w:rsidR="00F6353A" w:rsidRPr="00506D13">
        <w:tblPrEx>
          <w:tblCellMar>
            <w:top w:w="0" w:type="dxa"/>
            <w:bottom w:w="0" w:type="dxa"/>
          </w:tblCellMar>
        </w:tblPrEx>
        <w:trPr>
          <w:trHeight w:val="504"/>
        </w:trPr>
        <w:tc>
          <w:tcPr>
            <w:tcW w:w="2378" w:type="dxa"/>
            <w:tcBorders>
              <w:top w:val="single" w:sz="4" w:space="0" w:color="auto"/>
              <w:bottom w:val="single" w:sz="4" w:space="0" w:color="auto"/>
            </w:tcBorders>
            <w:vAlign w:val="center"/>
          </w:tcPr>
          <w:p w:rsidR="00F6353A" w:rsidRPr="00506D13" w:rsidRDefault="00F6353A">
            <w:pPr>
              <w:widowControl/>
              <w:rPr>
                <w:rFonts w:ascii="Palatino Linotype" w:hAnsi="Palatino Linotype"/>
                <w:sz w:val="24"/>
              </w:rPr>
            </w:pPr>
            <w:r w:rsidRPr="00506D13">
              <w:rPr>
                <w:rFonts w:ascii="Palatino Linotype" w:hAnsi="Palatino Linotype"/>
                <w:sz w:val="24"/>
              </w:rPr>
              <w:t>US Fixed Income</w:t>
            </w:r>
          </w:p>
        </w:tc>
        <w:tc>
          <w:tcPr>
            <w:tcW w:w="3940" w:type="dxa"/>
            <w:tcBorders>
              <w:top w:val="single" w:sz="4" w:space="0" w:color="auto"/>
              <w:bottom w:val="single" w:sz="4" w:space="0" w:color="auto"/>
            </w:tcBorders>
            <w:vAlign w:val="center"/>
          </w:tcPr>
          <w:p w:rsidR="00F6353A" w:rsidRPr="00506D13" w:rsidRDefault="00F6353A">
            <w:pPr>
              <w:widowControl/>
              <w:rPr>
                <w:rFonts w:ascii="Palatino Linotype" w:hAnsi="Palatino Linotype"/>
                <w:sz w:val="24"/>
              </w:rPr>
            </w:pPr>
            <w:r w:rsidRPr="00506D13">
              <w:rPr>
                <w:rFonts w:ascii="Palatino Linotype" w:hAnsi="Palatino Linotype"/>
                <w:sz w:val="24"/>
              </w:rPr>
              <w:t>Lehman Intermediate Aggregate Bond Index</w:t>
            </w:r>
          </w:p>
        </w:tc>
        <w:tc>
          <w:tcPr>
            <w:tcW w:w="1800" w:type="dxa"/>
            <w:tcBorders>
              <w:top w:val="single" w:sz="4" w:space="0" w:color="auto"/>
              <w:bottom w:val="single" w:sz="4" w:space="0" w:color="auto"/>
            </w:tcBorders>
            <w:vAlign w:val="center"/>
          </w:tcPr>
          <w:p w:rsidR="00F6353A" w:rsidRPr="00506D13" w:rsidRDefault="00BB406B">
            <w:pPr>
              <w:widowControl/>
              <w:rPr>
                <w:rFonts w:ascii="Palatino Linotype" w:hAnsi="Palatino Linotype"/>
                <w:sz w:val="24"/>
              </w:rPr>
            </w:pPr>
            <w:r w:rsidRPr="00506D13">
              <w:rPr>
                <w:rFonts w:ascii="Palatino Linotype" w:hAnsi="Palatino Linotype"/>
                <w:sz w:val="24"/>
              </w:rPr>
              <w:t>15</w:t>
            </w:r>
            <w:r w:rsidR="00F6353A" w:rsidRPr="00506D13">
              <w:rPr>
                <w:rFonts w:ascii="Palatino Linotype" w:hAnsi="Palatino Linotype"/>
                <w:sz w:val="24"/>
              </w:rPr>
              <w:t xml:space="preserve">% to </w:t>
            </w:r>
            <w:r w:rsidRPr="00506D13">
              <w:rPr>
                <w:rFonts w:ascii="Palatino Linotype" w:hAnsi="Palatino Linotype"/>
                <w:sz w:val="24"/>
              </w:rPr>
              <w:t>2</w:t>
            </w:r>
            <w:r w:rsidR="00F6353A" w:rsidRPr="00506D13">
              <w:rPr>
                <w:rFonts w:ascii="Palatino Linotype" w:hAnsi="Palatino Linotype"/>
                <w:sz w:val="24"/>
              </w:rPr>
              <w:t>5%</w:t>
            </w:r>
          </w:p>
        </w:tc>
        <w:tc>
          <w:tcPr>
            <w:tcW w:w="1458" w:type="dxa"/>
            <w:tcBorders>
              <w:top w:val="single" w:sz="4" w:space="0" w:color="auto"/>
              <w:bottom w:val="single" w:sz="4" w:space="0" w:color="auto"/>
            </w:tcBorders>
            <w:vAlign w:val="center"/>
          </w:tcPr>
          <w:p w:rsidR="00F6353A" w:rsidRPr="00506D13" w:rsidRDefault="00BB406B">
            <w:pPr>
              <w:widowControl/>
              <w:jc w:val="center"/>
              <w:rPr>
                <w:rFonts w:ascii="Palatino Linotype" w:hAnsi="Palatino Linotype"/>
                <w:sz w:val="24"/>
              </w:rPr>
            </w:pPr>
            <w:r w:rsidRPr="00506D13">
              <w:rPr>
                <w:rFonts w:ascii="Palatino Linotype" w:hAnsi="Palatino Linotype"/>
                <w:sz w:val="24"/>
              </w:rPr>
              <w:t>20</w:t>
            </w:r>
            <w:r w:rsidR="00F6353A" w:rsidRPr="00506D13">
              <w:rPr>
                <w:rFonts w:ascii="Palatino Linotype" w:hAnsi="Palatino Linotype"/>
                <w:sz w:val="24"/>
              </w:rPr>
              <w:t>%</w:t>
            </w:r>
          </w:p>
        </w:tc>
      </w:tr>
      <w:tr w:rsidR="00F6353A" w:rsidRPr="00506D13">
        <w:tblPrEx>
          <w:tblCellMar>
            <w:top w:w="0" w:type="dxa"/>
            <w:bottom w:w="0" w:type="dxa"/>
          </w:tblCellMar>
        </w:tblPrEx>
        <w:trPr>
          <w:trHeight w:val="504"/>
        </w:trPr>
        <w:tc>
          <w:tcPr>
            <w:tcW w:w="2378" w:type="dxa"/>
            <w:tcBorders>
              <w:top w:val="single" w:sz="4" w:space="0" w:color="auto"/>
              <w:bottom w:val="single" w:sz="4" w:space="0" w:color="auto"/>
            </w:tcBorders>
            <w:vAlign w:val="center"/>
          </w:tcPr>
          <w:p w:rsidR="00F6353A" w:rsidRPr="00506D13" w:rsidRDefault="00F6353A">
            <w:pPr>
              <w:widowControl/>
              <w:rPr>
                <w:rFonts w:ascii="Palatino Linotype" w:hAnsi="Palatino Linotype"/>
                <w:sz w:val="24"/>
              </w:rPr>
            </w:pPr>
            <w:r w:rsidRPr="00506D13">
              <w:rPr>
                <w:rFonts w:ascii="Palatino Linotype" w:hAnsi="Palatino Linotype"/>
                <w:sz w:val="24"/>
              </w:rPr>
              <w:t>Real Estate</w:t>
            </w:r>
          </w:p>
        </w:tc>
        <w:tc>
          <w:tcPr>
            <w:tcW w:w="3940" w:type="dxa"/>
            <w:tcBorders>
              <w:top w:val="single" w:sz="4" w:space="0" w:color="auto"/>
              <w:bottom w:val="single" w:sz="4" w:space="0" w:color="auto"/>
            </w:tcBorders>
            <w:vAlign w:val="center"/>
          </w:tcPr>
          <w:p w:rsidR="00F6353A" w:rsidRPr="00506D13" w:rsidRDefault="00F6353A">
            <w:pPr>
              <w:widowControl/>
              <w:rPr>
                <w:rFonts w:ascii="Palatino Linotype" w:hAnsi="Palatino Linotype"/>
                <w:sz w:val="24"/>
              </w:rPr>
            </w:pPr>
            <w:r w:rsidRPr="00506D13">
              <w:rPr>
                <w:rFonts w:ascii="Palatino Linotype" w:hAnsi="Palatino Linotype"/>
                <w:sz w:val="24"/>
              </w:rPr>
              <w:t>Private - NCREIF Property Index</w:t>
            </w:r>
          </w:p>
          <w:p w:rsidR="00F6353A" w:rsidRPr="00506D13" w:rsidRDefault="00F6353A">
            <w:pPr>
              <w:widowControl/>
              <w:rPr>
                <w:rFonts w:ascii="Palatino Linotype" w:hAnsi="Palatino Linotype"/>
                <w:sz w:val="24"/>
              </w:rPr>
            </w:pPr>
            <w:r w:rsidRPr="00506D13">
              <w:rPr>
                <w:rFonts w:ascii="Palatino Linotype" w:hAnsi="Palatino Linotype"/>
                <w:sz w:val="24"/>
              </w:rPr>
              <w:t>Public - The Wilshire REIT Index</w:t>
            </w:r>
          </w:p>
        </w:tc>
        <w:tc>
          <w:tcPr>
            <w:tcW w:w="1800" w:type="dxa"/>
            <w:tcBorders>
              <w:top w:val="single" w:sz="4" w:space="0" w:color="auto"/>
              <w:bottom w:val="single" w:sz="4" w:space="0" w:color="auto"/>
            </w:tcBorders>
            <w:vAlign w:val="center"/>
          </w:tcPr>
          <w:p w:rsidR="00F6353A" w:rsidRPr="00506D13" w:rsidRDefault="00F6353A">
            <w:pPr>
              <w:widowControl/>
              <w:rPr>
                <w:rFonts w:ascii="Palatino Linotype" w:hAnsi="Palatino Linotype"/>
                <w:sz w:val="24"/>
              </w:rPr>
            </w:pPr>
            <w:r w:rsidRPr="00506D13">
              <w:rPr>
                <w:rFonts w:ascii="Palatino Linotype" w:hAnsi="Palatino Linotype"/>
                <w:sz w:val="24"/>
              </w:rPr>
              <w:t>2</w:t>
            </w:r>
            <w:r w:rsidR="00BB406B" w:rsidRPr="00506D13">
              <w:rPr>
                <w:rFonts w:ascii="Palatino Linotype" w:hAnsi="Palatino Linotype"/>
                <w:sz w:val="24"/>
              </w:rPr>
              <w:t>.5</w:t>
            </w:r>
            <w:r w:rsidRPr="00506D13">
              <w:rPr>
                <w:rFonts w:ascii="Palatino Linotype" w:hAnsi="Palatino Linotype"/>
                <w:sz w:val="24"/>
              </w:rPr>
              <w:t>%</w:t>
            </w:r>
            <w:r w:rsidR="00BB406B" w:rsidRPr="00506D13">
              <w:rPr>
                <w:rFonts w:ascii="Palatino Linotype" w:hAnsi="Palatino Linotype"/>
                <w:sz w:val="24"/>
              </w:rPr>
              <w:t xml:space="preserve"> </w:t>
            </w:r>
            <w:r w:rsidRPr="00506D13">
              <w:rPr>
                <w:rFonts w:ascii="Palatino Linotype" w:hAnsi="Palatino Linotype"/>
                <w:sz w:val="24"/>
              </w:rPr>
              <w:t>to</w:t>
            </w:r>
            <w:r w:rsidR="00BB406B" w:rsidRPr="00506D13">
              <w:rPr>
                <w:rFonts w:ascii="Palatino Linotype" w:hAnsi="Palatino Linotype"/>
                <w:sz w:val="24"/>
              </w:rPr>
              <w:t xml:space="preserve"> 12.5%</w:t>
            </w:r>
          </w:p>
        </w:tc>
        <w:tc>
          <w:tcPr>
            <w:tcW w:w="1458" w:type="dxa"/>
            <w:tcBorders>
              <w:top w:val="single" w:sz="4" w:space="0" w:color="auto"/>
              <w:bottom w:val="single" w:sz="4" w:space="0" w:color="auto"/>
            </w:tcBorders>
            <w:vAlign w:val="center"/>
          </w:tcPr>
          <w:p w:rsidR="00F6353A" w:rsidRPr="00506D13" w:rsidRDefault="00187940">
            <w:pPr>
              <w:widowControl/>
              <w:jc w:val="center"/>
              <w:rPr>
                <w:rFonts w:ascii="Palatino Linotype" w:hAnsi="Palatino Linotype"/>
                <w:sz w:val="24"/>
              </w:rPr>
            </w:pPr>
            <w:r w:rsidRPr="00506D13">
              <w:rPr>
                <w:rFonts w:ascii="Palatino Linotype" w:hAnsi="Palatino Linotype"/>
                <w:sz w:val="24"/>
              </w:rPr>
              <w:t>10</w:t>
            </w:r>
            <w:r w:rsidR="00F6353A" w:rsidRPr="00506D13">
              <w:rPr>
                <w:rFonts w:ascii="Palatino Linotype" w:hAnsi="Palatino Linotype"/>
                <w:sz w:val="24"/>
              </w:rPr>
              <w:t>%</w:t>
            </w:r>
          </w:p>
        </w:tc>
      </w:tr>
      <w:tr w:rsidR="00BB406B" w:rsidRPr="00506D13">
        <w:tblPrEx>
          <w:tblCellMar>
            <w:top w:w="0" w:type="dxa"/>
            <w:bottom w:w="0" w:type="dxa"/>
          </w:tblCellMar>
        </w:tblPrEx>
        <w:trPr>
          <w:trHeight w:val="504"/>
        </w:trPr>
        <w:tc>
          <w:tcPr>
            <w:tcW w:w="2378" w:type="dxa"/>
            <w:tcBorders>
              <w:top w:val="single" w:sz="4" w:space="0" w:color="auto"/>
            </w:tcBorders>
            <w:vAlign w:val="center"/>
          </w:tcPr>
          <w:p w:rsidR="00BB406B" w:rsidRPr="00506D13" w:rsidRDefault="00BB406B">
            <w:pPr>
              <w:widowControl/>
              <w:rPr>
                <w:rFonts w:ascii="Palatino Linotype" w:hAnsi="Palatino Linotype"/>
                <w:sz w:val="24"/>
              </w:rPr>
            </w:pPr>
            <w:r w:rsidRPr="00506D13">
              <w:rPr>
                <w:rFonts w:ascii="Palatino Linotype" w:hAnsi="Palatino Linotype"/>
                <w:sz w:val="24"/>
              </w:rPr>
              <w:t>Cash</w:t>
            </w:r>
          </w:p>
        </w:tc>
        <w:tc>
          <w:tcPr>
            <w:tcW w:w="3940" w:type="dxa"/>
            <w:tcBorders>
              <w:top w:val="single" w:sz="4" w:space="0" w:color="auto"/>
            </w:tcBorders>
            <w:vAlign w:val="center"/>
          </w:tcPr>
          <w:p w:rsidR="00BB406B" w:rsidRPr="00506D13" w:rsidRDefault="00BB406B" w:rsidP="00281346">
            <w:pPr>
              <w:widowControl/>
              <w:rPr>
                <w:rFonts w:ascii="Palatino Linotype" w:hAnsi="Palatino Linotype"/>
                <w:sz w:val="24"/>
              </w:rPr>
            </w:pPr>
            <w:r w:rsidRPr="00506D13">
              <w:rPr>
                <w:rFonts w:ascii="Palatino Linotype" w:hAnsi="Palatino Linotype"/>
                <w:sz w:val="24"/>
              </w:rPr>
              <w:t xml:space="preserve">91-Day </w:t>
            </w:r>
            <w:smartTag w:uri="urn:schemas-microsoft-com:office:smarttags" w:element="country-region">
              <w:smartTag w:uri="urn:schemas-microsoft-com:office:smarttags" w:element="place">
                <w:r w:rsidRPr="00506D13">
                  <w:rPr>
                    <w:rFonts w:ascii="Palatino Linotype" w:hAnsi="Palatino Linotype"/>
                    <w:sz w:val="24"/>
                  </w:rPr>
                  <w:t>US</w:t>
                </w:r>
              </w:smartTag>
            </w:smartTag>
            <w:r w:rsidRPr="00506D13">
              <w:rPr>
                <w:rFonts w:ascii="Palatino Linotype" w:hAnsi="Palatino Linotype"/>
                <w:sz w:val="24"/>
              </w:rPr>
              <w:t xml:space="preserve"> Treasury bills</w:t>
            </w:r>
          </w:p>
        </w:tc>
        <w:tc>
          <w:tcPr>
            <w:tcW w:w="1800" w:type="dxa"/>
            <w:tcBorders>
              <w:top w:val="single" w:sz="4" w:space="0" w:color="auto"/>
            </w:tcBorders>
            <w:vAlign w:val="center"/>
          </w:tcPr>
          <w:p w:rsidR="00BB406B" w:rsidRPr="00506D13" w:rsidRDefault="00BB406B">
            <w:pPr>
              <w:widowControl/>
              <w:jc w:val="center"/>
              <w:rPr>
                <w:rFonts w:ascii="Palatino Linotype" w:hAnsi="Palatino Linotype"/>
                <w:sz w:val="24"/>
              </w:rPr>
            </w:pPr>
            <w:r w:rsidRPr="00506D13">
              <w:rPr>
                <w:rFonts w:ascii="Palatino Linotype" w:hAnsi="Palatino Linotype"/>
                <w:sz w:val="24"/>
              </w:rPr>
              <w:t xml:space="preserve"> 0% to 5%</w:t>
            </w:r>
          </w:p>
        </w:tc>
        <w:tc>
          <w:tcPr>
            <w:tcW w:w="1458" w:type="dxa"/>
            <w:tcBorders>
              <w:top w:val="single" w:sz="4" w:space="0" w:color="auto"/>
            </w:tcBorders>
            <w:vAlign w:val="center"/>
          </w:tcPr>
          <w:p w:rsidR="00BB406B" w:rsidRPr="00506D13" w:rsidRDefault="00BB406B">
            <w:pPr>
              <w:widowControl/>
              <w:jc w:val="center"/>
              <w:rPr>
                <w:rFonts w:ascii="Palatino Linotype" w:hAnsi="Palatino Linotype"/>
                <w:sz w:val="24"/>
              </w:rPr>
            </w:pPr>
            <w:r w:rsidRPr="00506D13">
              <w:rPr>
                <w:rFonts w:ascii="Palatino Linotype" w:hAnsi="Palatino Linotype"/>
                <w:sz w:val="24"/>
              </w:rPr>
              <w:t>0%</w:t>
            </w:r>
          </w:p>
        </w:tc>
      </w:tr>
    </w:tbl>
    <w:p w:rsidR="00F6353A" w:rsidRPr="00506D13" w:rsidRDefault="00F6353A">
      <w:pPr>
        <w:widowControl/>
        <w:rPr>
          <w:rFonts w:ascii="Palatino Linotype" w:hAnsi="Palatino Linotype"/>
          <w:sz w:val="24"/>
        </w:rPr>
      </w:pPr>
    </w:p>
    <w:p w:rsidR="00F6353A" w:rsidRPr="00506D13" w:rsidRDefault="00F6353A">
      <w:pPr>
        <w:widowControl/>
        <w:rPr>
          <w:rFonts w:ascii="Palatino Linotype" w:hAnsi="Palatino Linotype"/>
          <w:sz w:val="24"/>
        </w:rPr>
      </w:pP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2.</w:t>
      </w:r>
      <w:r w:rsidRPr="00506D13">
        <w:rPr>
          <w:rFonts w:ascii="Palatino Linotype" w:hAnsi="Palatino Linotype"/>
          <w:sz w:val="24"/>
        </w:rPr>
        <w:tab/>
        <w:t xml:space="preserve">The cash allocation is intended to pay operating expenses and will fluctuate within the policy range.  </w:t>
      </w: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3.</w:t>
      </w:r>
      <w:r w:rsidRPr="00506D13">
        <w:rPr>
          <w:rFonts w:ascii="Palatino Linotype" w:hAnsi="Palatino Linotype"/>
          <w:sz w:val="24"/>
        </w:rPr>
        <w:tab/>
        <w:t xml:space="preserve">The </w:t>
      </w:r>
      <w:r w:rsidR="00187940" w:rsidRPr="00506D13">
        <w:rPr>
          <w:rFonts w:ascii="Palatino Linotype" w:hAnsi="Palatino Linotype"/>
          <w:sz w:val="24"/>
        </w:rPr>
        <w:t>Council</w:t>
      </w:r>
      <w:r w:rsidRPr="00506D13">
        <w:rPr>
          <w:rFonts w:ascii="Palatino Linotype" w:hAnsi="Palatino Linotype"/>
          <w:sz w:val="24"/>
        </w:rPr>
        <w:t xml:space="preserve">'s unproductive real estate holdings will be excluded from total assets in determining the allocation to each asset class.  </w:t>
      </w:r>
    </w:p>
    <w:p w:rsidR="00330E2A" w:rsidRPr="00506D13" w:rsidRDefault="00330E2A">
      <w:pPr>
        <w:widowControl/>
        <w:rPr>
          <w:rFonts w:ascii="Palatino Linotype" w:hAnsi="Palatino Linotype"/>
          <w:b/>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Monitoring and Control</w:t>
      </w:r>
    </w:p>
    <w:p w:rsidR="00F6353A" w:rsidRPr="00506D13" w:rsidRDefault="00F6353A">
      <w:pPr>
        <w:widowControl/>
        <w:rPr>
          <w:rFonts w:ascii="Palatino Linotype" w:hAnsi="Palatino Linotype"/>
          <w:sz w:val="24"/>
        </w:rPr>
      </w:pP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1.</w:t>
      </w:r>
      <w:r w:rsidRPr="00506D13">
        <w:rPr>
          <w:rFonts w:ascii="Palatino Linotype" w:hAnsi="Palatino Linotype"/>
          <w:sz w:val="24"/>
        </w:rPr>
        <w:tab/>
        <w:t xml:space="preserve">Actual fund </w:t>
      </w:r>
      <w:r w:rsidR="00FD1148" w:rsidRPr="00506D13">
        <w:rPr>
          <w:rFonts w:ascii="Palatino Linotype" w:hAnsi="Palatino Linotype"/>
          <w:sz w:val="24"/>
        </w:rPr>
        <w:t>return</w:t>
      </w:r>
      <w:r w:rsidR="008E558E" w:rsidRPr="00506D13">
        <w:rPr>
          <w:rFonts w:ascii="Palatino Linotype" w:hAnsi="Palatino Linotype"/>
          <w:sz w:val="24"/>
        </w:rPr>
        <w:t>s</w:t>
      </w:r>
      <w:r w:rsidR="00FD1148" w:rsidRPr="00506D13">
        <w:rPr>
          <w:rFonts w:ascii="Palatino Linotype" w:hAnsi="Palatino Linotype"/>
          <w:sz w:val="24"/>
        </w:rPr>
        <w:t xml:space="preserve"> on a net-of-fee basis </w:t>
      </w:r>
      <w:r w:rsidRPr="00506D13">
        <w:rPr>
          <w:rFonts w:ascii="Palatino Linotype" w:hAnsi="Palatino Linotype"/>
          <w:sz w:val="24"/>
        </w:rPr>
        <w:t xml:space="preserve">are compared to the </w:t>
      </w:r>
      <w:r w:rsidR="00187940" w:rsidRPr="00506D13">
        <w:rPr>
          <w:rFonts w:ascii="Palatino Linotype" w:hAnsi="Palatino Linotype"/>
          <w:sz w:val="24"/>
        </w:rPr>
        <w:t>Council</w:t>
      </w:r>
      <w:r w:rsidRPr="00506D13">
        <w:rPr>
          <w:rFonts w:ascii="Palatino Linotype" w:hAnsi="Palatino Linotype"/>
          <w:sz w:val="24"/>
        </w:rPr>
        <w:t xml:space="preserve">'s Policy Mix return.  The Policy Mix utilizes passive investment alternatives weighted at each strategic asset class' target allocation.  </w:t>
      </w: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2.</w:t>
      </w:r>
      <w:r w:rsidRPr="00506D13">
        <w:rPr>
          <w:rFonts w:ascii="Palatino Linotype" w:hAnsi="Palatino Linotype"/>
          <w:sz w:val="24"/>
        </w:rPr>
        <w:tab/>
        <w:t xml:space="preserve">Fund asset class and investment manager returns are reported to the Scout Executive on a monthly basis.  Detailed reporting is prepared on a quarterly basis which compares the fund and manager results to  </w:t>
      </w:r>
      <w:r w:rsidR="00E87B35" w:rsidRPr="00506D13">
        <w:rPr>
          <w:rFonts w:ascii="Palatino Linotype" w:hAnsi="Palatino Linotype"/>
          <w:sz w:val="24"/>
        </w:rPr>
        <w:t xml:space="preserve">passive or index alternatives </w:t>
      </w:r>
      <w:r w:rsidRPr="00506D13">
        <w:rPr>
          <w:rFonts w:ascii="Palatino Linotype" w:hAnsi="Palatino Linotype"/>
          <w:sz w:val="24"/>
        </w:rPr>
        <w:t xml:space="preserve">over longer time periods (quarterly and greater.)  </w:t>
      </w:r>
      <w:r w:rsidR="00E87B35" w:rsidRPr="00506D13">
        <w:rPr>
          <w:rFonts w:ascii="Palatino Linotype" w:hAnsi="Palatino Linotype"/>
          <w:sz w:val="24"/>
        </w:rPr>
        <w:t xml:space="preserve"> Such quarter</w:t>
      </w:r>
      <w:r w:rsidR="008E558E" w:rsidRPr="00506D13">
        <w:rPr>
          <w:rFonts w:ascii="Palatino Linotype" w:hAnsi="Palatino Linotype"/>
          <w:sz w:val="24"/>
        </w:rPr>
        <w:t>ly</w:t>
      </w:r>
      <w:r w:rsidR="00E87B35" w:rsidRPr="00506D13">
        <w:rPr>
          <w:rFonts w:ascii="Palatino Linotype" w:hAnsi="Palatino Linotype"/>
          <w:sz w:val="24"/>
        </w:rPr>
        <w:t xml:space="preserve"> reporting may also include comparisons to representative peer groups.  </w:t>
      </w:r>
      <w:r w:rsidRPr="00506D13">
        <w:rPr>
          <w:rFonts w:ascii="Palatino Linotype" w:hAnsi="Palatino Linotype"/>
          <w:sz w:val="24"/>
        </w:rPr>
        <w:t xml:space="preserve">Longer periods (three years and greater) include comparisons of both absolute and risk-adjusted returns.  </w:t>
      </w:r>
    </w:p>
    <w:p w:rsidR="00F6353A" w:rsidRPr="00506D13" w:rsidRDefault="00F6353A">
      <w:pPr>
        <w:widowControl/>
        <w:numPr>
          <w:ilvl w:val="0"/>
          <w:numId w:val="2"/>
        </w:numPr>
        <w:tabs>
          <w:tab w:val="clear" w:pos="1080"/>
          <w:tab w:val="num" w:pos="1260"/>
        </w:tabs>
        <w:ind w:left="1260" w:hanging="540"/>
        <w:jc w:val="both"/>
        <w:rPr>
          <w:rFonts w:ascii="Palatino Linotype" w:hAnsi="Palatino Linotype"/>
          <w:sz w:val="24"/>
        </w:rPr>
      </w:pPr>
      <w:r w:rsidRPr="00506D13">
        <w:rPr>
          <w:rFonts w:ascii="Palatino Linotype" w:hAnsi="Palatino Linotype"/>
          <w:sz w:val="24"/>
        </w:rPr>
        <w:t xml:space="preserve">Due diligence meetings with external service providers (managers and custodian) </w:t>
      </w:r>
      <w:r w:rsidR="00E87B35" w:rsidRPr="00506D13">
        <w:rPr>
          <w:rFonts w:ascii="Palatino Linotype" w:hAnsi="Palatino Linotype"/>
          <w:sz w:val="24"/>
        </w:rPr>
        <w:t>may be held at the discretion of the Investment Committee or Subcommittee.  Meetings with managers of mutual or commingled funds, or the like, are expected to be infrequent if at all.</w:t>
      </w:r>
    </w:p>
    <w:p w:rsidR="00F6353A" w:rsidRPr="00506D13" w:rsidRDefault="00F6353A">
      <w:pPr>
        <w:widowControl/>
        <w:numPr>
          <w:ilvl w:val="0"/>
          <w:numId w:val="2"/>
        </w:numPr>
        <w:tabs>
          <w:tab w:val="clear" w:pos="1080"/>
          <w:tab w:val="num" w:pos="1260"/>
        </w:tabs>
        <w:ind w:left="1260" w:hanging="540"/>
        <w:jc w:val="both"/>
        <w:rPr>
          <w:rFonts w:ascii="Palatino Linotype" w:hAnsi="Palatino Linotype"/>
          <w:sz w:val="24"/>
        </w:rPr>
      </w:pPr>
      <w:r w:rsidRPr="00506D13">
        <w:rPr>
          <w:rFonts w:ascii="Palatino Linotype" w:hAnsi="Palatino Linotype"/>
          <w:sz w:val="24"/>
        </w:rPr>
        <w:t xml:space="preserve">Managers must seek approval from the Investment Committee in advance for investments not </w:t>
      </w:r>
      <w:r w:rsidR="00E87B35" w:rsidRPr="00506D13">
        <w:rPr>
          <w:rFonts w:ascii="Palatino Linotype" w:hAnsi="Palatino Linotype"/>
          <w:sz w:val="24"/>
        </w:rPr>
        <w:t xml:space="preserve">allowed </w:t>
      </w:r>
      <w:r w:rsidRPr="00506D13">
        <w:rPr>
          <w:rFonts w:ascii="Palatino Linotype" w:hAnsi="Palatino Linotype"/>
          <w:sz w:val="24"/>
        </w:rPr>
        <w:t>in the Portfolio Management Agreements.</w:t>
      </w:r>
    </w:p>
    <w:p w:rsidR="00506D13" w:rsidRDefault="00506D13">
      <w:pPr>
        <w:widowControl/>
        <w:jc w:val="center"/>
        <w:rPr>
          <w:rFonts w:ascii="Palatino Linotype" w:hAnsi="Palatino Linotype"/>
          <w:b/>
          <w:sz w:val="24"/>
        </w:rPr>
      </w:pPr>
    </w:p>
    <w:p w:rsidR="00506D13" w:rsidRDefault="00506D13">
      <w:pPr>
        <w:widowControl/>
        <w:jc w:val="center"/>
        <w:rPr>
          <w:rFonts w:ascii="Palatino Linotype" w:hAnsi="Palatino Linotype"/>
          <w:b/>
          <w:sz w:val="24"/>
        </w:rPr>
      </w:pPr>
    </w:p>
    <w:p w:rsidR="00F6353A" w:rsidRPr="00506D13" w:rsidRDefault="00F6353A">
      <w:pPr>
        <w:widowControl/>
        <w:jc w:val="center"/>
        <w:rPr>
          <w:rFonts w:ascii="Palatino Linotype" w:hAnsi="Palatino Linotype"/>
          <w:b/>
          <w:sz w:val="24"/>
        </w:rPr>
      </w:pPr>
      <w:smartTag w:uri="urn:schemas-microsoft-com:office:smarttags" w:element="country-region">
        <w:smartTag w:uri="urn:schemas-microsoft-com:office:smarttags" w:element="place">
          <w:r w:rsidRPr="00506D13">
            <w:rPr>
              <w:rFonts w:ascii="Palatino Linotype" w:hAnsi="Palatino Linotype"/>
              <w:b/>
              <w:sz w:val="24"/>
            </w:rPr>
            <w:t>US</w:t>
          </w:r>
        </w:smartTag>
      </w:smartTag>
      <w:r w:rsidRPr="00506D13">
        <w:rPr>
          <w:rFonts w:ascii="Palatino Linotype" w:hAnsi="Palatino Linotype"/>
          <w:b/>
          <w:sz w:val="24"/>
        </w:rPr>
        <w:t xml:space="preserve"> EQUITIES</w:t>
      </w:r>
    </w:p>
    <w:p w:rsidR="00F6353A" w:rsidRPr="00506D13" w:rsidRDefault="00F6353A">
      <w:pPr>
        <w:widowControl/>
        <w:jc w:val="center"/>
        <w:rPr>
          <w:rFonts w:ascii="Palatino Linotype" w:hAnsi="Palatino Linotype"/>
          <w:b/>
          <w:sz w:val="24"/>
        </w:rPr>
      </w:pPr>
    </w:p>
    <w:p w:rsidR="00F6353A" w:rsidRPr="00506D13" w:rsidRDefault="00F6353A">
      <w:pPr>
        <w:widowControl/>
        <w:jc w:val="center"/>
        <w:rPr>
          <w:rFonts w:ascii="Palatino Linotype" w:hAnsi="Palatino Linotype"/>
          <w:b/>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Statement of Purpose</w:t>
      </w:r>
    </w:p>
    <w:p w:rsidR="00F6353A" w:rsidRPr="00506D13" w:rsidRDefault="00F6353A">
      <w:pPr>
        <w:widowControl/>
        <w:jc w:val="both"/>
        <w:rPr>
          <w:rFonts w:ascii="Palatino Linotype" w:hAnsi="Palatino Linotype"/>
          <w:sz w:val="24"/>
        </w:rPr>
      </w:pPr>
    </w:p>
    <w:p w:rsidR="00F6353A" w:rsidRPr="00506D13" w:rsidRDefault="00F6353A">
      <w:pPr>
        <w:widowControl/>
        <w:ind w:left="720"/>
        <w:jc w:val="both"/>
        <w:rPr>
          <w:rFonts w:ascii="Palatino Linotype" w:hAnsi="Palatino Linotype"/>
          <w:sz w:val="24"/>
        </w:rPr>
      </w:pPr>
      <w:r w:rsidRPr="00506D13">
        <w:rPr>
          <w:rFonts w:ascii="Palatino Linotype" w:hAnsi="Palatino Linotype"/>
          <w:sz w:val="24"/>
        </w:rPr>
        <w:t>The purpose of the statement of US Equity policy is to define the strategic role of the asset class within the Fund's general statement of investment policy and to set forth the policies and strategies for the investments of the asset class.</w:t>
      </w:r>
    </w:p>
    <w:p w:rsidR="00F6353A" w:rsidRPr="00506D13" w:rsidRDefault="00F6353A">
      <w:pPr>
        <w:widowControl/>
        <w:rPr>
          <w:rFonts w:ascii="Palatino Linotype" w:hAnsi="Palatino Linotype"/>
          <w:sz w:val="24"/>
        </w:rPr>
      </w:pPr>
    </w:p>
    <w:p w:rsidR="00F6353A" w:rsidRPr="00506D13" w:rsidRDefault="00F6353A">
      <w:pPr>
        <w:widowControl/>
        <w:rPr>
          <w:rFonts w:ascii="Palatino Linotype" w:hAnsi="Palatino Linotype"/>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Assumptions and Goals</w:t>
      </w:r>
    </w:p>
    <w:p w:rsidR="00F6353A" w:rsidRPr="00506D13" w:rsidRDefault="00F6353A">
      <w:pPr>
        <w:widowControl/>
        <w:rPr>
          <w:rFonts w:ascii="Palatino Linotype" w:hAnsi="Palatino Linotype"/>
          <w:b/>
          <w:sz w:val="24"/>
        </w:rPr>
      </w:pPr>
    </w:p>
    <w:p w:rsidR="00F6353A" w:rsidRPr="00506D13" w:rsidRDefault="00F6353A">
      <w:pPr>
        <w:widowControl/>
        <w:numPr>
          <w:ilvl w:val="0"/>
          <w:numId w:val="3"/>
        </w:numPr>
        <w:jc w:val="both"/>
        <w:rPr>
          <w:rFonts w:ascii="Palatino Linotype" w:hAnsi="Palatino Linotype"/>
          <w:sz w:val="24"/>
        </w:rPr>
      </w:pPr>
      <w:r w:rsidRPr="00506D13">
        <w:rPr>
          <w:rFonts w:ascii="Palatino Linotype" w:hAnsi="Palatino Linotype"/>
          <w:sz w:val="24"/>
        </w:rPr>
        <w:t xml:space="preserve">Equities will be the dominant asset class in the </w:t>
      </w:r>
      <w:r w:rsidR="00187940" w:rsidRPr="00506D13">
        <w:rPr>
          <w:rFonts w:ascii="Palatino Linotype" w:hAnsi="Palatino Linotype"/>
          <w:sz w:val="24"/>
        </w:rPr>
        <w:t>Council</w:t>
      </w:r>
      <w:r w:rsidRPr="00506D13">
        <w:rPr>
          <w:rFonts w:ascii="Palatino Linotype" w:hAnsi="Palatino Linotype"/>
          <w:sz w:val="24"/>
        </w:rPr>
        <w:t>'s investment portfolio.</w:t>
      </w:r>
    </w:p>
    <w:p w:rsidR="00F6353A" w:rsidRPr="00506D13" w:rsidRDefault="00F6353A">
      <w:pPr>
        <w:widowControl/>
        <w:numPr>
          <w:ilvl w:val="0"/>
          <w:numId w:val="3"/>
        </w:numPr>
        <w:jc w:val="both"/>
        <w:rPr>
          <w:rFonts w:ascii="Palatino Linotype" w:hAnsi="Palatino Linotype"/>
          <w:sz w:val="24"/>
        </w:rPr>
      </w:pPr>
      <w:r w:rsidRPr="00506D13">
        <w:rPr>
          <w:rFonts w:ascii="Palatino Linotype" w:hAnsi="Palatino Linotype"/>
          <w:sz w:val="24"/>
        </w:rPr>
        <w:t xml:space="preserve">Equities will provide the highest absolute return of the major asset class over the long-term.  </w:t>
      </w:r>
    </w:p>
    <w:p w:rsidR="00F6353A" w:rsidRPr="00506D13" w:rsidRDefault="00F6353A">
      <w:pPr>
        <w:widowControl/>
        <w:numPr>
          <w:ilvl w:val="0"/>
          <w:numId w:val="3"/>
        </w:numPr>
        <w:jc w:val="both"/>
        <w:rPr>
          <w:rFonts w:ascii="Palatino Linotype" w:hAnsi="Palatino Linotype"/>
          <w:sz w:val="24"/>
        </w:rPr>
      </w:pPr>
      <w:r w:rsidRPr="00506D13">
        <w:rPr>
          <w:rFonts w:ascii="Palatino Linotype" w:hAnsi="Palatino Linotype"/>
          <w:sz w:val="24"/>
        </w:rPr>
        <w:t xml:space="preserve">Equities will maintain a diversified exposure within the </w:t>
      </w:r>
      <w:smartTag w:uri="urn:schemas-microsoft-com:office:smarttags" w:element="country-region">
        <w:smartTag w:uri="urn:schemas-microsoft-com:office:smarttags" w:element="place">
          <w:r w:rsidRPr="00506D13">
            <w:rPr>
              <w:rFonts w:ascii="Palatino Linotype" w:hAnsi="Palatino Linotype"/>
              <w:sz w:val="24"/>
            </w:rPr>
            <w:t>US</w:t>
          </w:r>
        </w:smartTag>
      </w:smartTag>
      <w:r w:rsidRPr="00506D13">
        <w:rPr>
          <w:rFonts w:ascii="Palatino Linotype" w:hAnsi="Palatino Linotype"/>
          <w:sz w:val="24"/>
        </w:rPr>
        <w:t xml:space="preserve"> stock market.</w:t>
      </w:r>
    </w:p>
    <w:p w:rsidR="00F6353A" w:rsidRPr="00506D13" w:rsidRDefault="00F6353A">
      <w:pPr>
        <w:widowControl/>
        <w:numPr>
          <w:ilvl w:val="0"/>
          <w:numId w:val="3"/>
        </w:numPr>
        <w:jc w:val="both"/>
        <w:rPr>
          <w:rFonts w:ascii="Palatino Linotype" w:hAnsi="Palatino Linotype"/>
          <w:sz w:val="24"/>
        </w:rPr>
      </w:pPr>
      <w:r w:rsidRPr="00506D13">
        <w:rPr>
          <w:rFonts w:ascii="Palatino Linotype" w:hAnsi="Palatino Linotype"/>
          <w:sz w:val="24"/>
        </w:rPr>
        <w:t>Equities will achieve returns in excess of passive indexes after fees through the use of active managers and strategies.</w:t>
      </w:r>
    </w:p>
    <w:p w:rsidR="00F6353A" w:rsidRPr="00506D13" w:rsidRDefault="00F6353A">
      <w:pPr>
        <w:widowControl/>
        <w:tabs>
          <w:tab w:val="left" w:pos="1260"/>
        </w:tabs>
        <w:jc w:val="both"/>
        <w:rPr>
          <w:rFonts w:ascii="Palatino Linotype" w:hAnsi="Palatino Linotype"/>
          <w:sz w:val="24"/>
        </w:rPr>
      </w:pPr>
    </w:p>
    <w:p w:rsidR="00F6353A" w:rsidRPr="00506D13" w:rsidRDefault="00F6353A">
      <w:pPr>
        <w:widowControl/>
        <w:tabs>
          <w:tab w:val="left" w:pos="1260"/>
        </w:tabs>
        <w:jc w:val="both"/>
        <w:rPr>
          <w:rFonts w:ascii="Palatino Linotype" w:hAnsi="Palatino Linotype"/>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Objectives and Policies</w:t>
      </w:r>
    </w:p>
    <w:p w:rsidR="00F6353A" w:rsidRPr="00506D13" w:rsidRDefault="00F6353A">
      <w:pPr>
        <w:widowControl/>
        <w:rPr>
          <w:rFonts w:ascii="Palatino Linotype" w:hAnsi="Palatino Linotype"/>
          <w:b/>
          <w:sz w:val="24"/>
        </w:rPr>
      </w:pP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1.</w:t>
      </w:r>
      <w:r w:rsidRPr="00506D13">
        <w:rPr>
          <w:rFonts w:ascii="Palatino Linotype" w:hAnsi="Palatino Linotype"/>
          <w:sz w:val="24"/>
        </w:rPr>
        <w:tab/>
        <w:t xml:space="preserve">Achieve excess return on the asset class relative to the Russell 3000 Index benchmark over three to five years, on a net-of-fee basis.  </w:t>
      </w:r>
    </w:p>
    <w:p w:rsidR="00F6353A" w:rsidRPr="00506D13" w:rsidRDefault="00F6353A">
      <w:pPr>
        <w:widowControl/>
        <w:tabs>
          <w:tab w:val="left" w:pos="1260"/>
        </w:tabs>
        <w:ind w:left="1260" w:hanging="540"/>
        <w:jc w:val="both"/>
        <w:rPr>
          <w:rFonts w:ascii="Palatino Linotype" w:hAnsi="Palatino Linotype"/>
          <w:sz w:val="24"/>
          <w:szCs w:val="24"/>
        </w:rPr>
      </w:pPr>
      <w:r w:rsidRPr="00506D13">
        <w:rPr>
          <w:rFonts w:ascii="Palatino Linotype" w:hAnsi="Palatino Linotype"/>
          <w:sz w:val="24"/>
        </w:rPr>
        <w:t>2.</w:t>
      </w:r>
      <w:r w:rsidRPr="00506D13">
        <w:rPr>
          <w:rFonts w:ascii="Palatino Linotype" w:hAnsi="Palatino Linotype"/>
          <w:sz w:val="24"/>
        </w:rPr>
        <w:tab/>
        <w:t xml:space="preserve">To diversify the asset class across all </w:t>
      </w:r>
      <w:smartTag w:uri="urn:schemas-microsoft-com:office:smarttags" w:element="country-region">
        <w:smartTag w:uri="urn:schemas-microsoft-com:office:smarttags" w:element="place">
          <w:r w:rsidRPr="00506D13">
            <w:rPr>
              <w:rFonts w:ascii="Palatino Linotype" w:hAnsi="Palatino Linotype"/>
              <w:sz w:val="24"/>
            </w:rPr>
            <w:t>US</w:t>
          </w:r>
        </w:smartTag>
      </w:smartTag>
      <w:r w:rsidRPr="00506D13">
        <w:rPr>
          <w:rFonts w:ascii="Palatino Linotype" w:hAnsi="Palatino Linotype"/>
          <w:sz w:val="24"/>
        </w:rPr>
        <w:t xml:space="preserve"> equity style categories (i.e., earnings growth, market-oriented, value, small cap) to ensure exposure to a wide range of investment opportunities.   The return objective for active </w:t>
      </w:r>
      <w:smartTag w:uri="urn:schemas-microsoft-com:office:smarttags" w:element="country-region">
        <w:smartTag w:uri="urn:schemas-microsoft-com:office:smarttags" w:element="place">
          <w:r w:rsidRPr="00506D13">
            <w:rPr>
              <w:rFonts w:ascii="Palatino Linotype" w:hAnsi="Palatino Linotype"/>
              <w:sz w:val="24"/>
            </w:rPr>
            <w:t>US</w:t>
          </w:r>
        </w:smartTag>
      </w:smartTag>
      <w:r w:rsidRPr="00506D13">
        <w:rPr>
          <w:rFonts w:ascii="Palatino Linotype" w:hAnsi="Palatino Linotype"/>
          <w:sz w:val="24"/>
        </w:rPr>
        <w:t xml:space="preserve"> equity management is .50% in excess of the Russell 3000 Index benchmark over three to five years, on a net</w:t>
      </w:r>
      <w:r w:rsidRPr="00506D13">
        <w:rPr>
          <w:rFonts w:ascii="Palatino Linotype" w:hAnsi="Palatino Linotype"/>
          <w:sz w:val="24"/>
        </w:rPr>
        <w:noBreakHyphen/>
        <w:t>of</w:t>
      </w:r>
      <w:r w:rsidRPr="00506D13">
        <w:rPr>
          <w:rFonts w:ascii="Palatino Linotype" w:hAnsi="Palatino Linotype"/>
          <w:sz w:val="24"/>
        </w:rPr>
        <w:noBreakHyphen/>
        <w:t xml:space="preserve">fee basis.  Passive management should achieve returns similar to the </w:t>
      </w:r>
      <w:r w:rsidRPr="00506D13">
        <w:rPr>
          <w:rFonts w:ascii="Palatino Linotype" w:hAnsi="Palatino Linotype"/>
          <w:sz w:val="24"/>
          <w:szCs w:val="24"/>
        </w:rPr>
        <w:t xml:space="preserve">benchmark return less investment management and custody fees on a near-term basis.  </w:t>
      </w:r>
    </w:p>
    <w:p w:rsidR="00F6353A" w:rsidRPr="00506D13" w:rsidRDefault="00F6353A" w:rsidP="00187940">
      <w:pPr>
        <w:widowControl/>
        <w:tabs>
          <w:tab w:val="left" w:pos="1260"/>
        </w:tabs>
        <w:ind w:left="1260" w:hanging="540"/>
        <w:jc w:val="both"/>
        <w:rPr>
          <w:rFonts w:ascii="Palatino Linotype" w:hAnsi="Palatino Linotype"/>
          <w:sz w:val="24"/>
          <w:szCs w:val="24"/>
        </w:rPr>
      </w:pPr>
      <w:r w:rsidRPr="00506D13">
        <w:rPr>
          <w:rFonts w:ascii="Palatino Linotype" w:hAnsi="Palatino Linotype"/>
          <w:sz w:val="24"/>
          <w:szCs w:val="24"/>
        </w:rPr>
        <w:t>3.</w:t>
      </w:r>
      <w:r w:rsidRPr="00506D13">
        <w:rPr>
          <w:rFonts w:ascii="Palatino Linotype" w:hAnsi="Palatino Linotype"/>
          <w:sz w:val="24"/>
          <w:szCs w:val="24"/>
        </w:rPr>
        <w:tab/>
      </w:r>
      <w:r w:rsidR="00187940" w:rsidRPr="00506D13">
        <w:rPr>
          <w:rFonts w:ascii="Palatino Linotype" w:hAnsi="Palatino Linotype"/>
          <w:sz w:val="24"/>
          <w:szCs w:val="24"/>
        </w:rPr>
        <w:t>D</w:t>
      </w:r>
      <w:r w:rsidRPr="00506D13">
        <w:rPr>
          <w:rFonts w:ascii="Palatino Linotype" w:hAnsi="Palatino Linotype"/>
          <w:sz w:val="24"/>
          <w:szCs w:val="24"/>
        </w:rPr>
        <w:t xml:space="preserve">ecisions as to individual security selection, security size and quality, number of industries or holdings, current income levels, and turnover </w:t>
      </w:r>
      <w:r w:rsidR="00ED1F36" w:rsidRPr="00506D13">
        <w:rPr>
          <w:rFonts w:ascii="Palatino Linotype" w:hAnsi="Palatino Linotype"/>
          <w:sz w:val="24"/>
          <w:szCs w:val="24"/>
        </w:rPr>
        <w:t xml:space="preserve">are accordingly </w:t>
      </w:r>
      <w:r w:rsidRPr="00506D13">
        <w:rPr>
          <w:rFonts w:ascii="Palatino Linotype" w:hAnsi="Palatino Linotype"/>
          <w:sz w:val="24"/>
          <w:szCs w:val="24"/>
        </w:rPr>
        <w:t xml:space="preserve">left to broad manager discretion, subject to the usual standards of fiduciary prudence.  </w:t>
      </w:r>
    </w:p>
    <w:p w:rsidR="00F6353A" w:rsidRPr="00506D13" w:rsidRDefault="00ED1F36">
      <w:pPr>
        <w:widowControl/>
        <w:tabs>
          <w:tab w:val="left" w:pos="1260"/>
        </w:tabs>
        <w:ind w:left="1260" w:hanging="540"/>
        <w:jc w:val="both"/>
        <w:rPr>
          <w:rFonts w:ascii="Palatino Linotype" w:hAnsi="Palatino Linotype"/>
          <w:sz w:val="24"/>
        </w:rPr>
      </w:pPr>
      <w:r w:rsidRPr="00506D13">
        <w:rPr>
          <w:rFonts w:ascii="Palatino Linotype" w:hAnsi="Palatino Linotype"/>
          <w:sz w:val="24"/>
        </w:rPr>
        <w:t>4.</w:t>
      </w:r>
      <w:r w:rsidR="00F6353A" w:rsidRPr="00506D13">
        <w:rPr>
          <w:rFonts w:ascii="Palatino Linotype" w:hAnsi="Palatino Linotype"/>
          <w:sz w:val="24"/>
        </w:rPr>
        <w:tab/>
        <w:t xml:space="preserve">Detailed investment </w:t>
      </w:r>
      <w:r w:rsidRPr="00506D13">
        <w:rPr>
          <w:rFonts w:ascii="Palatino Linotype" w:hAnsi="Palatino Linotype"/>
          <w:sz w:val="24"/>
        </w:rPr>
        <w:t xml:space="preserve">guidelines </w:t>
      </w:r>
      <w:r w:rsidR="00F6353A" w:rsidRPr="00506D13">
        <w:rPr>
          <w:rFonts w:ascii="Palatino Linotype" w:hAnsi="Palatino Linotype"/>
          <w:sz w:val="24"/>
        </w:rPr>
        <w:t>are included in the Portfolio Manageme</w:t>
      </w:r>
      <w:r w:rsidRPr="00506D13">
        <w:rPr>
          <w:rFonts w:ascii="Palatino Linotype" w:hAnsi="Palatino Linotype"/>
          <w:sz w:val="24"/>
        </w:rPr>
        <w:t>nt Agreement with each manager or fund prospectus.</w:t>
      </w:r>
      <w:r w:rsidR="00F6353A" w:rsidRPr="00506D13">
        <w:rPr>
          <w:rFonts w:ascii="Palatino Linotype" w:hAnsi="Palatino Linotype"/>
          <w:sz w:val="24"/>
        </w:rPr>
        <w:t xml:space="preserve"> </w:t>
      </w:r>
    </w:p>
    <w:p w:rsidR="00F6353A" w:rsidRPr="00506D13" w:rsidRDefault="00ED1F36">
      <w:pPr>
        <w:widowControl/>
        <w:tabs>
          <w:tab w:val="left" w:pos="1260"/>
        </w:tabs>
        <w:ind w:left="1260" w:hanging="540"/>
        <w:jc w:val="both"/>
        <w:rPr>
          <w:rFonts w:ascii="Palatino Linotype" w:hAnsi="Palatino Linotype"/>
          <w:sz w:val="24"/>
        </w:rPr>
      </w:pPr>
      <w:r w:rsidRPr="00506D13">
        <w:rPr>
          <w:rFonts w:ascii="Palatino Linotype" w:hAnsi="Palatino Linotype"/>
          <w:sz w:val="24"/>
        </w:rPr>
        <w:t>5.</w:t>
      </w:r>
      <w:r w:rsidR="00F6353A" w:rsidRPr="00506D13">
        <w:rPr>
          <w:rFonts w:ascii="Palatino Linotype" w:hAnsi="Palatino Linotype"/>
          <w:sz w:val="24"/>
        </w:rPr>
        <w:tab/>
        <w:t xml:space="preserve">The Investment Committee has delegated the responsibility of voting all proxies to the investment managers according to the managers' internal proxy voting guidelines.  They are required to vote the issues on behalf of the Program.  </w:t>
      </w:r>
    </w:p>
    <w:p w:rsidR="00F6353A" w:rsidRPr="00506D13" w:rsidRDefault="00F6353A">
      <w:pPr>
        <w:widowControl/>
        <w:tabs>
          <w:tab w:val="left" w:pos="1260"/>
        </w:tabs>
        <w:jc w:val="both"/>
        <w:rPr>
          <w:rFonts w:ascii="Palatino Linotype" w:hAnsi="Palatino Linotype"/>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Monitoring and Control</w:t>
      </w:r>
    </w:p>
    <w:p w:rsidR="00F6353A" w:rsidRPr="00506D13" w:rsidRDefault="00F6353A">
      <w:pPr>
        <w:widowControl/>
        <w:rPr>
          <w:rFonts w:ascii="Palatino Linotype" w:hAnsi="Palatino Linotype"/>
          <w:b/>
          <w:sz w:val="24"/>
        </w:rPr>
      </w:pP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1.</w:t>
      </w:r>
      <w:r w:rsidRPr="00506D13">
        <w:rPr>
          <w:rFonts w:ascii="Palatino Linotype" w:hAnsi="Palatino Linotype"/>
          <w:sz w:val="24"/>
        </w:rPr>
        <w:tab/>
      </w:r>
      <w:r w:rsidR="00187940" w:rsidRPr="00506D13">
        <w:rPr>
          <w:rFonts w:ascii="Palatino Linotype" w:hAnsi="Palatino Linotype"/>
          <w:sz w:val="24"/>
        </w:rPr>
        <w:t>I</w:t>
      </w:r>
      <w:r w:rsidRPr="00506D13">
        <w:rPr>
          <w:rFonts w:ascii="Palatino Linotype" w:hAnsi="Palatino Linotype"/>
          <w:sz w:val="24"/>
        </w:rPr>
        <w:t xml:space="preserve">nvestment returns and other data and reports are </w:t>
      </w:r>
      <w:r w:rsidR="00013373" w:rsidRPr="00506D13">
        <w:rPr>
          <w:rFonts w:ascii="Palatino Linotype" w:hAnsi="Palatino Linotype"/>
          <w:sz w:val="24"/>
        </w:rPr>
        <w:t xml:space="preserve">prepared </w:t>
      </w:r>
      <w:r w:rsidRPr="00506D13">
        <w:rPr>
          <w:rFonts w:ascii="Palatino Linotype" w:hAnsi="Palatino Linotype"/>
          <w:sz w:val="24"/>
        </w:rPr>
        <w:t>for the asset class, style categories and individual managers</w:t>
      </w:r>
      <w:r w:rsidR="00013373" w:rsidRPr="00506D13">
        <w:rPr>
          <w:rFonts w:ascii="Palatino Linotype" w:hAnsi="Palatino Linotype"/>
          <w:sz w:val="24"/>
        </w:rPr>
        <w:t xml:space="preserve"> and</w:t>
      </w:r>
      <w:r w:rsidRPr="00506D13">
        <w:rPr>
          <w:rFonts w:ascii="Palatino Linotype" w:hAnsi="Palatino Linotype"/>
          <w:sz w:val="24"/>
        </w:rPr>
        <w:t xml:space="preserve"> are reported to the Investment Committee on a quarterly basis.  </w:t>
      </w: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2.</w:t>
      </w:r>
      <w:r w:rsidRPr="00506D13">
        <w:rPr>
          <w:rFonts w:ascii="Palatino Linotype" w:hAnsi="Palatino Linotype"/>
          <w:sz w:val="24"/>
        </w:rPr>
        <w:tab/>
        <w:t xml:space="preserve">Reports which compare the gross and net absolute and risk-adjusted returns for the managers and asset class are submitted to the Investment Committee on a quarterly basis.  </w:t>
      </w:r>
    </w:p>
    <w:p w:rsidR="00F6353A" w:rsidRPr="00506D13" w:rsidRDefault="00013373">
      <w:pPr>
        <w:widowControl/>
        <w:tabs>
          <w:tab w:val="left" w:pos="1260"/>
        </w:tabs>
        <w:ind w:left="1260" w:hanging="540"/>
        <w:jc w:val="both"/>
        <w:rPr>
          <w:rFonts w:ascii="Palatino Linotype" w:hAnsi="Palatino Linotype"/>
          <w:sz w:val="24"/>
        </w:rPr>
      </w:pPr>
      <w:r w:rsidRPr="00506D13">
        <w:rPr>
          <w:rFonts w:ascii="Palatino Linotype" w:hAnsi="Palatino Linotype"/>
          <w:sz w:val="24"/>
        </w:rPr>
        <w:t>3.</w:t>
      </w:r>
      <w:r w:rsidR="00F6353A" w:rsidRPr="00506D13">
        <w:rPr>
          <w:rFonts w:ascii="Palatino Linotype" w:hAnsi="Palatino Linotype"/>
          <w:sz w:val="24"/>
        </w:rPr>
        <w:tab/>
        <w:t xml:space="preserve">On an annual basis, managers </w:t>
      </w:r>
      <w:r w:rsidRPr="00506D13">
        <w:rPr>
          <w:rFonts w:ascii="Palatino Linotype" w:hAnsi="Palatino Linotype"/>
          <w:sz w:val="24"/>
        </w:rPr>
        <w:t xml:space="preserve">are expected to </w:t>
      </w:r>
      <w:r w:rsidR="00F6353A" w:rsidRPr="00506D13">
        <w:rPr>
          <w:rFonts w:ascii="Palatino Linotype" w:hAnsi="Palatino Linotype"/>
          <w:sz w:val="24"/>
        </w:rPr>
        <w:t xml:space="preserve">submit a detailed explanation to the Scout Executive of the </w:t>
      </w:r>
      <w:r w:rsidR="00187940" w:rsidRPr="00506D13">
        <w:rPr>
          <w:rFonts w:ascii="Palatino Linotype" w:hAnsi="Palatino Linotype"/>
          <w:sz w:val="24"/>
        </w:rPr>
        <w:t>_______________</w:t>
      </w:r>
      <w:r w:rsidR="00F6353A" w:rsidRPr="00506D13">
        <w:rPr>
          <w:rFonts w:ascii="Palatino Linotype" w:hAnsi="Palatino Linotype"/>
          <w:sz w:val="24"/>
        </w:rPr>
        <w:t xml:space="preserve"> Boy Scout Council of any proxies that are voted contrary to the manager's proxy voting guidelines.  </w:t>
      </w:r>
    </w:p>
    <w:p w:rsidR="00330E2A" w:rsidRPr="00506D13" w:rsidRDefault="00330E2A">
      <w:pPr>
        <w:widowControl/>
        <w:jc w:val="center"/>
        <w:rPr>
          <w:rFonts w:ascii="Palatino Linotype" w:hAnsi="Palatino Linotype"/>
          <w:b/>
          <w:sz w:val="24"/>
        </w:rPr>
      </w:pPr>
    </w:p>
    <w:p w:rsidR="00330E2A" w:rsidRDefault="00330E2A">
      <w:pPr>
        <w:widowControl/>
        <w:jc w:val="center"/>
        <w:rPr>
          <w:rFonts w:ascii="Palatino Linotype" w:hAnsi="Palatino Linotype"/>
          <w:b/>
          <w:sz w:val="24"/>
        </w:rPr>
      </w:pPr>
    </w:p>
    <w:p w:rsidR="00506D13" w:rsidRDefault="00506D13">
      <w:pPr>
        <w:widowControl/>
        <w:jc w:val="center"/>
        <w:rPr>
          <w:rFonts w:ascii="Palatino Linotype" w:hAnsi="Palatino Linotype"/>
          <w:b/>
          <w:sz w:val="24"/>
        </w:rPr>
      </w:pPr>
    </w:p>
    <w:p w:rsidR="00506D13" w:rsidRDefault="00506D13">
      <w:pPr>
        <w:widowControl/>
        <w:jc w:val="center"/>
        <w:rPr>
          <w:rFonts w:ascii="Palatino Linotype" w:hAnsi="Palatino Linotype"/>
          <w:b/>
          <w:sz w:val="24"/>
        </w:rPr>
      </w:pPr>
    </w:p>
    <w:p w:rsidR="00506D13" w:rsidRDefault="00506D13">
      <w:pPr>
        <w:widowControl/>
        <w:jc w:val="center"/>
        <w:rPr>
          <w:rFonts w:ascii="Palatino Linotype" w:hAnsi="Palatino Linotype"/>
          <w:b/>
          <w:sz w:val="24"/>
        </w:rPr>
      </w:pPr>
    </w:p>
    <w:p w:rsidR="00506D13" w:rsidRDefault="00506D13">
      <w:pPr>
        <w:widowControl/>
        <w:jc w:val="center"/>
        <w:rPr>
          <w:rFonts w:ascii="Palatino Linotype" w:hAnsi="Palatino Linotype"/>
          <w:b/>
          <w:sz w:val="24"/>
        </w:rPr>
      </w:pPr>
    </w:p>
    <w:p w:rsidR="00506D13" w:rsidRDefault="00506D13">
      <w:pPr>
        <w:widowControl/>
        <w:jc w:val="center"/>
        <w:rPr>
          <w:rFonts w:ascii="Palatino Linotype" w:hAnsi="Palatino Linotype"/>
          <w:b/>
          <w:sz w:val="24"/>
        </w:rPr>
      </w:pPr>
    </w:p>
    <w:p w:rsidR="00506D13" w:rsidRPr="00506D13" w:rsidRDefault="00506D13">
      <w:pPr>
        <w:widowControl/>
        <w:jc w:val="center"/>
        <w:rPr>
          <w:rFonts w:ascii="Palatino Linotype" w:hAnsi="Palatino Linotype"/>
          <w:b/>
          <w:sz w:val="24"/>
        </w:rPr>
      </w:pPr>
    </w:p>
    <w:p w:rsidR="00F6353A" w:rsidRPr="00506D13" w:rsidRDefault="00F6353A">
      <w:pPr>
        <w:widowControl/>
        <w:jc w:val="center"/>
        <w:rPr>
          <w:rFonts w:ascii="Palatino Linotype" w:hAnsi="Palatino Linotype"/>
          <w:b/>
          <w:sz w:val="24"/>
        </w:rPr>
      </w:pPr>
      <w:r w:rsidRPr="00506D13">
        <w:rPr>
          <w:rFonts w:ascii="Palatino Linotype" w:hAnsi="Palatino Linotype"/>
          <w:b/>
          <w:sz w:val="24"/>
        </w:rPr>
        <w:t>INTERNATIONAL EQUITIES</w:t>
      </w:r>
    </w:p>
    <w:p w:rsidR="00F6353A" w:rsidRPr="00506D13" w:rsidRDefault="00F6353A">
      <w:pPr>
        <w:widowControl/>
        <w:jc w:val="center"/>
        <w:rPr>
          <w:rFonts w:ascii="Palatino Linotype" w:hAnsi="Palatino Linotype"/>
          <w:b/>
          <w:sz w:val="24"/>
        </w:rPr>
      </w:pPr>
    </w:p>
    <w:p w:rsidR="00F6353A" w:rsidRPr="00506D13" w:rsidRDefault="00F6353A">
      <w:pPr>
        <w:widowControl/>
        <w:jc w:val="center"/>
        <w:rPr>
          <w:rFonts w:ascii="Palatino Linotype" w:hAnsi="Palatino Linotype"/>
          <w:b/>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Statement of Purpose</w:t>
      </w:r>
    </w:p>
    <w:p w:rsidR="00F6353A" w:rsidRPr="00506D13" w:rsidRDefault="00F6353A">
      <w:pPr>
        <w:widowControl/>
        <w:rPr>
          <w:rFonts w:ascii="Palatino Linotype" w:hAnsi="Palatino Linotype"/>
          <w:b/>
          <w:sz w:val="24"/>
        </w:rPr>
      </w:pPr>
    </w:p>
    <w:p w:rsidR="00F6353A" w:rsidRPr="00506D13" w:rsidRDefault="00F6353A">
      <w:pPr>
        <w:widowControl/>
        <w:ind w:left="720"/>
        <w:jc w:val="both"/>
        <w:rPr>
          <w:rFonts w:ascii="Palatino Linotype" w:hAnsi="Palatino Linotype"/>
          <w:sz w:val="24"/>
        </w:rPr>
      </w:pPr>
      <w:r w:rsidRPr="00506D13">
        <w:rPr>
          <w:rFonts w:ascii="Palatino Linotype" w:hAnsi="Palatino Linotype"/>
          <w:sz w:val="24"/>
        </w:rPr>
        <w:t>The purpose of this statement of International Equities policy is to define the strategic role of the asset class within the general statement of investment policy and to set forth the policies and strategies for the investment of the asset class.</w:t>
      </w:r>
    </w:p>
    <w:p w:rsidR="00F6353A" w:rsidRPr="00506D13" w:rsidRDefault="00F6353A">
      <w:pPr>
        <w:widowControl/>
        <w:rPr>
          <w:rFonts w:ascii="Palatino Linotype" w:hAnsi="Palatino Linotype"/>
          <w:sz w:val="24"/>
        </w:rPr>
      </w:pPr>
    </w:p>
    <w:p w:rsidR="00F6353A" w:rsidRPr="00506D13" w:rsidRDefault="00F6353A">
      <w:pPr>
        <w:widowControl/>
        <w:rPr>
          <w:rFonts w:ascii="Palatino Linotype" w:hAnsi="Palatino Linotype"/>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Assumptions and Goals</w:t>
      </w:r>
    </w:p>
    <w:p w:rsidR="00F6353A" w:rsidRPr="00506D13" w:rsidRDefault="00F6353A">
      <w:pPr>
        <w:widowControl/>
        <w:rPr>
          <w:rFonts w:ascii="Palatino Linotype" w:hAnsi="Palatino Linotype"/>
          <w:b/>
          <w:sz w:val="24"/>
        </w:rPr>
      </w:pPr>
    </w:p>
    <w:p w:rsidR="00F6353A" w:rsidRPr="00506D13" w:rsidRDefault="00F6353A">
      <w:pPr>
        <w:widowControl/>
        <w:numPr>
          <w:ilvl w:val="0"/>
          <w:numId w:val="6"/>
        </w:numPr>
        <w:jc w:val="both"/>
        <w:rPr>
          <w:rFonts w:ascii="Palatino Linotype" w:hAnsi="Palatino Linotype"/>
          <w:sz w:val="24"/>
        </w:rPr>
      </w:pPr>
      <w:r w:rsidRPr="00506D13">
        <w:rPr>
          <w:rFonts w:ascii="Palatino Linotype" w:hAnsi="Palatino Linotype"/>
          <w:sz w:val="24"/>
        </w:rPr>
        <w:t xml:space="preserve">Provide diversification to US equities, while providing similar expected returns.   </w:t>
      </w:r>
    </w:p>
    <w:p w:rsidR="00F6353A" w:rsidRPr="00506D13" w:rsidRDefault="00F6353A">
      <w:pPr>
        <w:widowControl/>
        <w:numPr>
          <w:ilvl w:val="0"/>
          <w:numId w:val="6"/>
        </w:numPr>
        <w:jc w:val="both"/>
        <w:rPr>
          <w:rFonts w:ascii="Palatino Linotype" w:hAnsi="Palatino Linotype"/>
          <w:sz w:val="24"/>
        </w:rPr>
      </w:pPr>
      <w:r w:rsidRPr="00506D13">
        <w:rPr>
          <w:rFonts w:ascii="Palatino Linotype" w:hAnsi="Palatino Linotype"/>
          <w:sz w:val="24"/>
        </w:rPr>
        <w:t>Maintain a diversified exposure across both developed and emerging non</w:t>
      </w:r>
      <w:r w:rsidRPr="00506D13">
        <w:rPr>
          <w:rFonts w:ascii="Palatino Linotype" w:hAnsi="Palatino Linotype"/>
          <w:sz w:val="24"/>
        </w:rPr>
        <w:noBreakHyphen/>
        <w:t>US stock markets.</w:t>
      </w:r>
    </w:p>
    <w:p w:rsidR="00F6353A" w:rsidRPr="00506D13" w:rsidRDefault="00F6353A">
      <w:pPr>
        <w:widowControl/>
        <w:tabs>
          <w:tab w:val="left" w:pos="1260"/>
        </w:tabs>
        <w:jc w:val="both"/>
        <w:rPr>
          <w:rFonts w:ascii="Palatino Linotype" w:hAnsi="Palatino Linotype"/>
          <w:sz w:val="24"/>
        </w:rPr>
      </w:pPr>
    </w:p>
    <w:p w:rsidR="00F6353A" w:rsidRPr="00506D13" w:rsidRDefault="00F6353A">
      <w:pPr>
        <w:widowControl/>
        <w:tabs>
          <w:tab w:val="left" w:pos="1260"/>
        </w:tabs>
        <w:jc w:val="both"/>
        <w:rPr>
          <w:rFonts w:ascii="Palatino Linotype" w:hAnsi="Palatino Linotype"/>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Objectives and Policies</w:t>
      </w:r>
    </w:p>
    <w:p w:rsidR="00F6353A" w:rsidRPr="00506D13" w:rsidRDefault="00F6353A">
      <w:pPr>
        <w:widowControl/>
        <w:rPr>
          <w:rFonts w:ascii="Palatino Linotype" w:hAnsi="Palatino Linotype"/>
          <w:b/>
          <w:sz w:val="24"/>
        </w:rPr>
      </w:pP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1.</w:t>
      </w:r>
      <w:r w:rsidRPr="00506D13">
        <w:rPr>
          <w:rFonts w:ascii="Palatino Linotype" w:hAnsi="Palatino Linotype"/>
          <w:sz w:val="24"/>
        </w:rPr>
        <w:tab/>
        <w:t xml:space="preserve">Achieve returns in excess of an unhedged weighted benchmark as follows:  90% of the Morgan Stanley Capital International Europe, Australia, Far East (MSCI EAFE) Index and 10% of the MSCI Emerging Markets Free Index, net of investment management and custody fees over three to five years.  </w:t>
      </w: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2.</w:t>
      </w:r>
      <w:r w:rsidRPr="00506D13">
        <w:rPr>
          <w:rFonts w:ascii="Palatino Linotype" w:hAnsi="Palatino Linotype"/>
          <w:sz w:val="24"/>
        </w:rPr>
        <w:tab/>
        <w:t>Maintain capitalization and style exposures at the asset class level similar to a broad market representation of the non</w:t>
      </w:r>
      <w:r w:rsidRPr="00506D13">
        <w:rPr>
          <w:rFonts w:ascii="Palatino Linotype" w:hAnsi="Palatino Linotype"/>
          <w:sz w:val="24"/>
        </w:rPr>
        <w:noBreakHyphen/>
        <w:t>US markets.</w:t>
      </w:r>
    </w:p>
    <w:p w:rsidR="00F6353A" w:rsidRPr="00506D13" w:rsidRDefault="00F6353A">
      <w:pPr>
        <w:widowControl/>
        <w:numPr>
          <w:ilvl w:val="0"/>
          <w:numId w:val="6"/>
        </w:numPr>
        <w:jc w:val="both"/>
        <w:rPr>
          <w:rFonts w:ascii="Palatino Linotype" w:hAnsi="Palatino Linotype"/>
          <w:sz w:val="24"/>
        </w:rPr>
      </w:pPr>
      <w:r w:rsidRPr="00506D13">
        <w:rPr>
          <w:rFonts w:ascii="Palatino Linotype" w:hAnsi="Palatino Linotype"/>
          <w:sz w:val="24"/>
        </w:rPr>
        <w:t>Detailed investment guidelines are included in the Investment Management Agreement with each investment manager or fund prospectus.</w:t>
      </w:r>
    </w:p>
    <w:p w:rsidR="00F6353A" w:rsidRPr="00506D13" w:rsidRDefault="00F6353A">
      <w:pPr>
        <w:widowControl/>
        <w:numPr>
          <w:ilvl w:val="0"/>
          <w:numId w:val="6"/>
        </w:numPr>
        <w:jc w:val="both"/>
        <w:rPr>
          <w:rFonts w:ascii="Palatino Linotype" w:hAnsi="Palatino Linotype"/>
          <w:sz w:val="24"/>
        </w:rPr>
      </w:pPr>
      <w:r w:rsidRPr="00506D13">
        <w:rPr>
          <w:rFonts w:ascii="Palatino Linotype" w:hAnsi="Palatino Linotype"/>
          <w:sz w:val="24"/>
        </w:rPr>
        <w:t>The Investment Committee has delegated the responsibility of voting all proxies to the investment managers according to the managers' internal proxy voting guidelines.  They are required to vote the issues on behalf of the Program.</w:t>
      </w:r>
    </w:p>
    <w:p w:rsidR="00F6353A" w:rsidRPr="00506D13" w:rsidRDefault="00F6353A">
      <w:pPr>
        <w:widowControl/>
        <w:tabs>
          <w:tab w:val="left" w:pos="1260"/>
        </w:tabs>
        <w:jc w:val="both"/>
        <w:rPr>
          <w:rFonts w:ascii="Palatino Linotype" w:hAnsi="Palatino Linotype"/>
          <w:sz w:val="24"/>
        </w:rPr>
      </w:pPr>
    </w:p>
    <w:p w:rsidR="00F6353A" w:rsidRPr="00506D13" w:rsidRDefault="00F6353A">
      <w:pPr>
        <w:widowControl/>
        <w:tabs>
          <w:tab w:val="left" w:pos="1260"/>
        </w:tabs>
        <w:jc w:val="both"/>
        <w:rPr>
          <w:rFonts w:ascii="Palatino Linotype" w:hAnsi="Palatino Linotype"/>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Monitoring and Control</w:t>
      </w:r>
    </w:p>
    <w:p w:rsidR="00F6353A" w:rsidRPr="00506D13" w:rsidRDefault="00F6353A">
      <w:pPr>
        <w:widowControl/>
        <w:rPr>
          <w:rFonts w:ascii="Palatino Linotype" w:hAnsi="Palatino Linotype"/>
          <w:b/>
          <w:sz w:val="24"/>
        </w:rPr>
      </w:pPr>
    </w:p>
    <w:p w:rsidR="00187940" w:rsidRPr="00506D13" w:rsidRDefault="00F6353A" w:rsidP="00187940">
      <w:pPr>
        <w:widowControl/>
        <w:numPr>
          <w:ilvl w:val="0"/>
          <w:numId w:val="23"/>
        </w:numPr>
        <w:tabs>
          <w:tab w:val="left" w:pos="1260"/>
        </w:tabs>
        <w:jc w:val="both"/>
        <w:rPr>
          <w:rFonts w:ascii="Palatino Linotype" w:hAnsi="Palatino Linotype"/>
          <w:sz w:val="24"/>
        </w:rPr>
      </w:pPr>
      <w:r w:rsidRPr="00506D13">
        <w:rPr>
          <w:rFonts w:ascii="Palatino Linotype" w:hAnsi="Palatino Linotype"/>
          <w:sz w:val="24"/>
        </w:rPr>
        <w:t xml:space="preserve">Reports which compare the absolute and risk-adjusted returns for the asset class and manager are submitted to the Investment Committee on a quarterly basis.  </w:t>
      </w:r>
    </w:p>
    <w:p w:rsidR="00F6353A" w:rsidRPr="00506D13" w:rsidRDefault="00F6353A" w:rsidP="00187940">
      <w:pPr>
        <w:widowControl/>
        <w:numPr>
          <w:ilvl w:val="0"/>
          <w:numId w:val="23"/>
        </w:numPr>
        <w:tabs>
          <w:tab w:val="left" w:pos="1260"/>
        </w:tabs>
        <w:jc w:val="both"/>
        <w:rPr>
          <w:rFonts w:ascii="Palatino Linotype" w:hAnsi="Palatino Linotype"/>
          <w:sz w:val="24"/>
        </w:rPr>
      </w:pPr>
      <w:r w:rsidRPr="00506D13">
        <w:rPr>
          <w:rFonts w:ascii="Palatino Linotype" w:hAnsi="Palatino Linotype"/>
          <w:sz w:val="24"/>
        </w:rPr>
        <w:lastRenderedPageBreak/>
        <w:t xml:space="preserve">On an annual basis, managers </w:t>
      </w:r>
      <w:r w:rsidR="00901AF9" w:rsidRPr="00506D13">
        <w:rPr>
          <w:rFonts w:ascii="Palatino Linotype" w:hAnsi="Palatino Linotype"/>
          <w:sz w:val="24"/>
        </w:rPr>
        <w:t xml:space="preserve">are expected to </w:t>
      </w:r>
      <w:r w:rsidRPr="00506D13">
        <w:rPr>
          <w:rFonts w:ascii="Palatino Linotype" w:hAnsi="Palatino Linotype"/>
          <w:sz w:val="24"/>
        </w:rPr>
        <w:t xml:space="preserve">submit a detailed explanation to the Scout Executive of the </w:t>
      </w:r>
      <w:r w:rsidR="00187940" w:rsidRPr="00506D13">
        <w:rPr>
          <w:rFonts w:ascii="Palatino Linotype" w:hAnsi="Palatino Linotype"/>
          <w:sz w:val="24"/>
        </w:rPr>
        <w:t>_______________</w:t>
      </w:r>
      <w:r w:rsidRPr="00506D13">
        <w:rPr>
          <w:rFonts w:ascii="Palatino Linotype" w:hAnsi="Palatino Linotype"/>
          <w:sz w:val="24"/>
        </w:rPr>
        <w:t xml:space="preserve"> Boy Scout Council of any proxies that are voted contrary to the manager's proxy voting guidelines.</w:t>
      </w:r>
    </w:p>
    <w:p w:rsidR="00330E2A" w:rsidRPr="00506D13" w:rsidRDefault="00330E2A">
      <w:pPr>
        <w:widowControl/>
        <w:jc w:val="center"/>
        <w:rPr>
          <w:rFonts w:ascii="Palatino Linotype" w:hAnsi="Palatino Linotype"/>
          <w:b/>
          <w:sz w:val="24"/>
        </w:rPr>
      </w:pPr>
    </w:p>
    <w:p w:rsidR="00330E2A" w:rsidRPr="00506D13" w:rsidRDefault="00330E2A">
      <w:pPr>
        <w:widowControl/>
        <w:jc w:val="center"/>
        <w:rPr>
          <w:rFonts w:ascii="Palatino Linotype" w:hAnsi="Palatino Linotype"/>
          <w:b/>
          <w:sz w:val="24"/>
        </w:rPr>
      </w:pPr>
    </w:p>
    <w:p w:rsidR="00187940" w:rsidRPr="00506D13" w:rsidRDefault="00187940">
      <w:pPr>
        <w:widowControl/>
        <w:jc w:val="center"/>
        <w:rPr>
          <w:rFonts w:ascii="Palatino Linotype" w:hAnsi="Palatino Linotype"/>
          <w:b/>
          <w:sz w:val="24"/>
        </w:rPr>
      </w:pPr>
    </w:p>
    <w:p w:rsidR="00F6353A" w:rsidRPr="00506D13" w:rsidRDefault="00F6353A">
      <w:pPr>
        <w:widowControl/>
        <w:jc w:val="center"/>
        <w:rPr>
          <w:rFonts w:ascii="Palatino Linotype" w:hAnsi="Palatino Linotype"/>
          <w:b/>
          <w:sz w:val="24"/>
        </w:rPr>
      </w:pPr>
      <w:r w:rsidRPr="00506D13">
        <w:rPr>
          <w:rFonts w:ascii="Palatino Linotype" w:hAnsi="Palatino Linotype"/>
          <w:b/>
          <w:sz w:val="24"/>
        </w:rPr>
        <w:t>FIXED INCOME</w:t>
      </w:r>
    </w:p>
    <w:p w:rsidR="00F6353A" w:rsidRPr="00506D13" w:rsidRDefault="00F6353A">
      <w:pPr>
        <w:widowControl/>
        <w:jc w:val="center"/>
        <w:rPr>
          <w:rFonts w:ascii="Palatino Linotype" w:hAnsi="Palatino Linotype"/>
          <w:b/>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Statement of Purpose</w:t>
      </w:r>
    </w:p>
    <w:p w:rsidR="00F6353A" w:rsidRPr="00506D13" w:rsidRDefault="00F6353A">
      <w:pPr>
        <w:widowControl/>
        <w:rPr>
          <w:rFonts w:ascii="Palatino Linotype" w:hAnsi="Palatino Linotype"/>
          <w:b/>
          <w:sz w:val="24"/>
        </w:rPr>
      </w:pPr>
    </w:p>
    <w:p w:rsidR="00F6353A" w:rsidRPr="00506D13" w:rsidRDefault="00F6353A">
      <w:pPr>
        <w:widowControl/>
        <w:ind w:left="720"/>
        <w:jc w:val="both"/>
        <w:rPr>
          <w:rFonts w:ascii="Palatino Linotype" w:hAnsi="Palatino Linotype"/>
          <w:sz w:val="24"/>
        </w:rPr>
      </w:pPr>
      <w:r w:rsidRPr="00506D13">
        <w:rPr>
          <w:rFonts w:ascii="Palatino Linotype" w:hAnsi="Palatino Linotype"/>
          <w:sz w:val="24"/>
        </w:rPr>
        <w:t>The purpose of this statement of Fixed Income policy is to define the strategic role of the asset class within the general statement of investment policy and to set forth the policies and strategies for the investment of the asset class.</w:t>
      </w:r>
    </w:p>
    <w:p w:rsidR="00F6353A" w:rsidRPr="00506D13" w:rsidRDefault="00F6353A">
      <w:pPr>
        <w:widowControl/>
        <w:rPr>
          <w:rFonts w:ascii="Palatino Linotype" w:hAnsi="Palatino Linotype"/>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Assumptions and Goals</w:t>
      </w:r>
    </w:p>
    <w:p w:rsidR="00F6353A" w:rsidRPr="00506D13" w:rsidRDefault="00F6353A">
      <w:pPr>
        <w:widowControl/>
        <w:rPr>
          <w:rFonts w:ascii="Palatino Linotype" w:hAnsi="Palatino Linotype"/>
          <w:b/>
          <w:sz w:val="24"/>
        </w:rPr>
      </w:pP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1.</w:t>
      </w:r>
      <w:r w:rsidRPr="00506D13">
        <w:rPr>
          <w:rFonts w:ascii="Palatino Linotype" w:hAnsi="Palatino Linotype"/>
          <w:sz w:val="24"/>
        </w:rPr>
        <w:tab/>
        <w:t xml:space="preserve">Provide diversification to equities by utilizing investments with low correlations.  Fixed income instruments have historically generated returns and variances which are lower than equities.  </w:t>
      </w:r>
    </w:p>
    <w:p w:rsidR="00F6353A" w:rsidRPr="00506D13" w:rsidRDefault="00F6353A">
      <w:pPr>
        <w:widowControl/>
        <w:numPr>
          <w:ilvl w:val="0"/>
          <w:numId w:val="5"/>
        </w:numPr>
        <w:jc w:val="both"/>
        <w:rPr>
          <w:rFonts w:ascii="Palatino Linotype" w:hAnsi="Palatino Linotype"/>
          <w:sz w:val="24"/>
        </w:rPr>
      </w:pPr>
      <w:r w:rsidRPr="00506D13">
        <w:rPr>
          <w:rFonts w:ascii="Palatino Linotype" w:hAnsi="Palatino Linotype"/>
          <w:sz w:val="24"/>
        </w:rPr>
        <w:t>Maintain the liquidity reserve to pay out operating expenses on an ongoing basis.</w:t>
      </w:r>
    </w:p>
    <w:p w:rsidR="00F6353A" w:rsidRPr="00506D13" w:rsidRDefault="00F6353A">
      <w:pPr>
        <w:widowControl/>
        <w:tabs>
          <w:tab w:val="left" w:pos="1260"/>
        </w:tabs>
        <w:jc w:val="both"/>
        <w:rPr>
          <w:rFonts w:ascii="Palatino Linotype" w:hAnsi="Palatino Linotype"/>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Objectives and Policies</w:t>
      </w:r>
    </w:p>
    <w:p w:rsidR="00901AF9" w:rsidRPr="00506D13" w:rsidRDefault="00901AF9">
      <w:pPr>
        <w:widowControl/>
        <w:rPr>
          <w:rFonts w:ascii="Palatino Linotype" w:hAnsi="Palatino Linotype"/>
          <w:sz w:val="24"/>
        </w:rPr>
      </w:pPr>
      <w:r w:rsidRPr="00506D13">
        <w:rPr>
          <w:rFonts w:ascii="Palatino Linotype" w:hAnsi="Palatino Linotype"/>
          <w:b/>
          <w:sz w:val="24"/>
        </w:rPr>
        <w:tab/>
      </w:r>
    </w:p>
    <w:p w:rsidR="00901AF9"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1.</w:t>
      </w:r>
      <w:r w:rsidRPr="00506D13">
        <w:rPr>
          <w:rFonts w:ascii="Palatino Linotype" w:hAnsi="Palatino Linotype"/>
          <w:sz w:val="24"/>
        </w:rPr>
        <w:tab/>
      </w:r>
      <w:r w:rsidR="00901AF9" w:rsidRPr="00506D13">
        <w:rPr>
          <w:rFonts w:ascii="Palatino Linotype" w:hAnsi="Palatino Linotype"/>
          <w:sz w:val="24"/>
        </w:rPr>
        <w:t>Achieve an excess return of at least 20 basis points net-of-fees compared to the Lehman Intermediate Aggregate Bond Index over three to five year periods.</w:t>
      </w:r>
    </w:p>
    <w:p w:rsidR="00901AF9" w:rsidRPr="00506D13" w:rsidRDefault="00F6353A" w:rsidP="00901AF9">
      <w:pPr>
        <w:widowControl/>
        <w:tabs>
          <w:tab w:val="left" w:pos="1260"/>
        </w:tabs>
        <w:ind w:left="1260" w:hanging="540"/>
        <w:jc w:val="both"/>
        <w:rPr>
          <w:rFonts w:ascii="Palatino Linotype" w:hAnsi="Palatino Linotype"/>
          <w:sz w:val="24"/>
        </w:rPr>
      </w:pPr>
      <w:r w:rsidRPr="00506D13">
        <w:rPr>
          <w:rFonts w:ascii="Palatino Linotype" w:hAnsi="Palatino Linotype"/>
          <w:sz w:val="24"/>
        </w:rPr>
        <w:t>2.</w:t>
      </w:r>
      <w:r w:rsidRPr="00506D13">
        <w:rPr>
          <w:rFonts w:ascii="Palatino Linotype" w:hAnsi="Palatino Linotype"/>
          <w:sz w:val="24"/>
        </w:rPr>
        <w:tab/>
      </w:r>
      <w:r w:rsidR="00901AF9" w:rsidRPr="00506D13">
        <w:rPr>
          <w:rFonts w:ascii="Palatino Linotype" w:hAnsi="Palatino Linotype"/>
          <w:sz w:val="24"/>
        </w:rPr>
        <w:t xml:space="preserve">Maintain an average portfolio duration maximum of </w:t>
      </w:r>
      <w:r w:rsidR="00901AF9" w:rsidRPr="00506D13">
        <w:rPr>
          <w:rFonts w:ascii="Palatino Linotype" w:hAnsi="Palatino Linotype"/>
          <w:sz w:val="24"/>
          <w:u w:val="single"/>
        </w:rPr>
        <w:t>+</w:t>
      </w:r>
      <w:r w:rsidR="00901AF9" w:rsidRPr="00506D13">
        <w:rPr>
          <w:rFonts w:ascii="Palatino Linotype" w:hAnsi="Palatino Linotype"/>
          <w:sz w:val="24"/>
        </w:rPr>
        <w:t xml:space="preserve"> 20% of the duration of the established benchmark.  </w:t>
      </w: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3.</w:t>
      </w:r>
      <w:r w:rsidRPr="00506D13">
        <w:rPr>
          <w:rFonts w:ascii="Palatino Linotype" w:hAnsi="Palatino Linotype"/>
          <w:sz w:val="24"/>
        </w:rPr>
        <w:tab/>
        <w:t xml:space="preserve">At the time of purchase, all bonds should be rated Baa, BBB or higher by one of the major rating agencies (S&amp;P or Moody's), maintaining an average overall portfolio quality of A or higher.  Commercial paper should be rated A1/P1, by one of the major rating agencies.  Only publicly traded securities will be purchased.  Derivative instruments (options, futures, and options on futures) may not be purchased without the advance approval of the Trustees.  </w:t>
      </w:r>
    </w:p>
    <w:p w:rsidR="00F6353A" w:rsidRPr="00506D13" w:rsidRDefault="00F6353A">
      <w:pPr>
        <w:widowControl/>
        <w:rPr>
          <w:rFonts w:ascii="Palatino Linotype" w:hAnsi="Palatino Linotype"/>
          <w:sz w:val="24"/>
        </w:rPr>
      </w:pPr>
    </w:p>
    <w:p w:rsidR="00F6353A" w:rsidRPr="00506D13" w:rsidRDefault="00F6353A">
      <w:pPr>
        <w:widowControl/>
        <w:rPr>
          <w:rFonts w:ascii="Palatino Linotype" w:hAnsi="Palatino Linotype"/>
          <w:b/>
          <w:sz w:val="24"/>
        </w:rPr>
      </w:pPr>
      <w:r w:rsidRPr="00506D13">
        <w:rPr>
          <w:rFonts w:ascii="Palatino Linotype" w:hAnsi="Palatino Linotype"/>
          <w:b/>
          <w:sz w:val="24"/>
        </w:rPr>
        <w:t>Monitoring and Control</w:t>
      </w:r>
    </w:p>
    <w:p w:rsidR="00F6353A" w:rsidRPr="00506D13" w:rsidRDefault="00F6353A">
      <w:pPr>
        <w:widowControl/>
        <w:rPr>
          <w:rFonts w:ascii="Palatino Linotype" w:hAnsi="Palatino Linotype"/>
          <w:b/>
          <w:sz w:val="24"/>
        </w:rPr>
      </w:pP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t>1.</w:t>
      </w:r>
      <w:r w:rsidRPr="00506D13">
        <w:rPr>
          <w:rFonts w:ascii="Palatino Linotype" w:hAnsi="Palatino Linotype"/>
          <w:sz w:val="24"/>
        </w:rPr>
        <w:tab/>
        <w:t xml:space="preserve">The returns for the asset class and individual managers are reported to the Investment Committee on a quarterly basis.  </w:t>
      </w:r>
    </w:p>
    <w:p w:rsidR="00F6353A" w:rsidRPr="00506D13" w:rsidRDefault="00F6353A">
      <w:pPr>
        <w:widowControl/>
        <w:tabs>
          <w:tab w:val="left" w:pos="1260"/>
        </w:tabs>
        <w:ind w:left="1260" w:hanging="540"/>
        <w:jc w:val="both"/>
        <w:rPr>
          <w:rFonts w:ascii="Palatino Linotype" w:hAnsi="Palatino Linotype"/>
          <w:sz w:val="24"/>
        </w:rPr>
      </w:pPr>
      <w:r w:rsidRPr="00506D13">
        <w:rPr>
          <w:rFonts w:ascii="Palatino Linotype" w:hAnsi="Palatino Linotype"/>
          <w:sz w:val="24"/>
        </w:rPr>
        <w:lastRenderedPageBreak/>
        <w:t>2.</w:t>
      </w:r>
      <w:r w:rsidRPr="00506D13">
        <w:rPr>
          <w:rFonts w:ascii="Palatino Linotype" w:hAnsi="Palatino Linotype"/>
          <w:sz w:val="24"/>
        </w:rPr>
        <w:tab/>
        <w:t xml:space="preserve">Reports which compare the absolute and risk-adjusted returns for the managers and asset class are submitted to the Investment Committee on a quarterly basis.  </w:t>
      </w:r>
    </w:p>
    <w:p w:rsidR="00330E2A" w:rsidRPr="00506D13" w:rsidRDefault="00330E2A">
      <w:pPr>
        <w:widowControl/>
        <w:jc w:val="center"/>
        <w:rPr>
          <w:rFonts w:ascii="Palatino Linotype" w:hAnsi="Palatino Linotype"/>
          <w:b/>
          <w:sz w:val="24"/>
        </w:rPr>
      </w:pPr>
    </w:p>
    <w:p w:rsidR="00330E2A" w:rsidRPr="00506D13" w:rsidRDefault="00330E2A">
      <w:pPr>
        <w:widowControl/>
        <w:jc w:val="center"/>
        <w:rPr>
          <w:rFonts w:ascii="Palatino Linotype" w:hAnsi="Palatino Linotype"/>
          <w:b/>
          <w:sz w:val="24"/>
        </w:rPr>
      </w:pPr>
    </w:p>
    <w:p w:rsidR="00F6353A" w:rsidRPr="00506D13" w:rsidRDefault="00F6353A">
      <w:pPr>
        <w:widowControl/>
        <w:jc w:val="center"/>
        <w:rPr>
          <w:rFonts w:ascii="Palatino Linotype" w:hAnsi="Palatino Linotype"/>
          <w:b/>
          <w:sz w:val="22"/>
        </w:rPr>
      </w:pPr>
      <w:r w:rsidRPr="00506D13">
        <w:rPr>
          <w:rFonts w:ascii="Palatino Linotype" w:hAnsi="Palatino Linotype"/>
          <w:b/>
          <w:sz w:val="24"/>
        </w:rPr>
        <w:t>REAL ESTATE</w:t>
      </w:r>
    </w:p>
    <w:p w:rsidR="00F6353A" w:rsidRPr="00506D13" w:rsidRDefault="00F6353A">
      <w:pPr>
        <w:rPr>
          <w:rFonts w:ascii="Palatino Linotype" w:hAnsi="Palatino Linotype"/>
          <w:sz w:val="22"/>
        </w:rPr>
      </w:pPr>
    </w:p>
    <w:p w:rsidR="00F6353A" w:rsidRPr="00506D13" w:rsidRDefault="00F6353A">
      <w:pPr>
        <w:pStyle w:val="Heading2"/>
        <w:rPr>
          <w:rFonts w:ascii="Palatino Linotype" w:hAnsi="Palatino Linotype"/>
          <w:sz w:val="22"/>
        </w:rPr>
      </w:pPr>
      <w:r w:rsidRPr="00506D13">
        <w:rPr>
          <w:rFonts w:ascii="Palatino Linotype" w:hAnsi="Palatino Linotype"/>
          <w:b/>
        </w:rPr>
        <w:t>Statement of Purpose</w:t>
      </w:r>
    </w:p>
    <w:p w:rsidR="00F6353A" w:rsidRPr="00506D13" w:rsidRDefault="00F6353A">
      <w:pPr>
        <w:rPr>
          <w:rFonts w:ascii="Palatino Linotype" w:hAnsi="Palatino Linotype"/>
          <w:sz w:val="22"/>
        </w:rPr>
      </w:pPr>
    </w:p>
    <w:p w:rsidR="00F6353A" w:rsidRPr="00506D13" w:rsidRDefault="00F6353A">
      <w:pPr>
        <w:widowControl/>
        <w:ind w:left="720"/>
        <w:jc w:val="both"/>
        <w:rPr>
          <w:rFonts w:ascii="Palatino Linotype" w:hAnsi="Palatino Linotype"/>
          <w:sz w:val="22"/>
        </w:rPr>
      </w:pPr>
      <w:r w:rsidRPr="00506D13">
        <w:rPr>
          <w:rFonts w:ascii="Palatino Linotype" w:hAnsi="Palatino Linotype"/>
          <w:sz w:val="24"/>
        </w:rPr>
        <w:t>The purpose of this statement of Real Estate</w:t>
      </w:r>
      <w:r w:rsidR="00187940" w:rsidRPr="00506D13">
        <w:rPr>
          <w:rFonts w:ascii="Palatino Linotype" w:hAnsi="Palatino Linotype"/>
          <w:sz w:val="24"/>
        </w:rPr>
        <w:t xml:space="preserve"> policy </w:t>
      </w:r>
      <w:r w:rsidRPr="00506D13">
        <w:rPr>
          <w:rFonts w:ascii="Palatino Linotype" w:hAnsi="Palatino Linotype"/>
          <w:sz w:val="24"/>
        </w:rPr>
        <w:t>is to define the strategic role of the asset class within the general statement of investment policy and to set forth the policies and strategies for the investment of the asset class.</w:t>
      </w:r>
    </w:p>
    <w:p w:rsidR="00F6353A" w:rsidRPr="00506D13" w:rsidRDefault="00F6353A">
      <w:pPr>
        <w:rPr>
          <w:rFonts w:ascii="Palatino Linotype" w:hAnsi="Palatino Linotype"/>
          <w:sz w:val="22"/>
        </w:rPr>
      </w:pPr>
    </w:p>
    <w:p w:rsidR="00F6353A" w:rsidRPr="00506D13" w:rsidRDefault="00F6353A">
      <w:pPr>
        <w:pStyle w:val="Heading2"/>
        <w:rPr>
          <w:rFonts w:ascii="Palatino Linotype" w:hAnsi="Palatino Linotype"/>
          <w:sz w:val="22"/>
        </w:rPr>
      </w:pPr>
      <w:r w:rsidRPr="00506D13">
        <w:rPr>
          <w:rFonts w:ascii="Palatino Linotype" w:hAnsi="Palatino Linotype"/>
          <w:b/>
        </w:rPr>
        <w:t>Assumptions and Goals</w:t>
      </w:r>
    </w:p>
    <w:p w:rsidR="00F6353A" w:rsidRPr="00506D13" w:rsidRDefault="00F6353A">
      <w:pPr>
        <w:rPr>
          <w:rFonts w:ascii="Palatino Linotype" w:hAnsi="Palatino Linotype"/>
          <w:sz w:val="22"/>
        </w:rPr>
      </w:pPr>
    </w:p>
    <w:p w:rsidR="00F6353A" w:rsidRPr="00506D13" w:rsidRDefault="00F6353A">
      <w:pPr>
        <w:numPr>
          <w:ilvl w:val="0"/>
          <w:numId w:val="7"/>
        </w:numPr>
        <w:tabs>
          <w:tab w:val="clear" w:pos="360"/>
          <w:tab w:val="num" w:pos="1260"/>
        </w:tabs>
        <w:ind w:left="1260" w:hanging="540"/>
        <w:jc w:val="both"/>
        <w:rPr>
          <w:rFonts w:ascii="Palatino Linotype" w:hAnsi="Palatino Linotype"/>
          <w:sz w:val="24"/>
        </w:rPr>
      </w:pPr>
      <w:r w:rsidRPr="00506D13">
        <w:rPr>
          <w:rFonts w:ascii="Palatino Linotype" w:hAnsi="Palatino Linotype"/>
          <w:sz w:val="24"/>
        </w:rPr>
        <w:t xml:space="preserve">Provide diversification to the equity and fixed income asset classes, resulting from real estate’s low correlation of returns with these asset classes.  </w:t>
      </w:r>
    </w:p>
    <w:p w:rsidR="00F6353A" w:rsidRPr="00506D13" w:rsidRDefault="00F6353A">
      <w:pPr>
        <w:numPr>
          <w:ilvl w:val="0"/>
          <w:numId w:val="7"/>
        </w:numPr>
        <w:tabs>
          <w:tab w:val="clear" w:pos="360"/>
          <w:tab w:val="num" w:pos="1260"/>
        </w:tabs>
        <w:ind w:left="1260" w:hanging="540"/>
        <w:jc w:val="both"/>
        <w:rPr>
          <w:rFonts w:ascii="Palatino Linotype" w:hAnsi="Palatino Linotype"/>
          <w:sz w:val="22"/>
        </w:rPr>
      </w:pPr>
      <w:r w:rsidRPr="00506D13">
        <w:rPr>
          <w:rFonts w:ascii="Palatino Linotype" w:hAnsi="Palatino Linotype"/>
          <w:sz w:val="24"/>
        </w:rPr>
        <w:t xml:space="preserve">Provide investment returns between those of the equity and fixed income asset classes, with relatively stable yields and cash flow, and the potential for longer-term asset appreciation.  </w:t>
      </w:r>
    </w:p>
    <w:p w:rsidR="00F6353A" w:rsidRPr="00506D13" w:rsidRDefault="00F6353A">
      <w:pPr>
        <w:pStyle w:val="Heading2"/>
        <w:rPr>
          <w:rFonts w:ascii="Palatino Linotype" w:hAnsi="Palatino Linotype"/>
          <w:sz w:val="22"/>
        </w:rPr>
      </w:pPr>
    </w:p>
    <w:p w:rsidR="00F6353A" w:rsidRPr="00506D13" w:rsidRDefault="00F6353A">
      <w:pPr>
        <w:pStyle w:val="Heading2"/>
        <w:rPr>
          <w:rFonts w:ascii="Palatino Linotype" w:hAnsi="Palatino Linotype"/>
          <w:sz w:val="22"/>
        </w:rPr>
      </w:pPr>
      <w:r w:rsidRPr="00506D13">
        <w:rPr>
          <w:rFonts w:ascii="Palatino Linotype" w:hAnsi="Palatino Linotype"/>
          <w:b/>
        </w:rPr>
        <w:t>Objectives and Policies</w:t>
      </w:r>
    </w:p>
    <w:p w:rsidR="00F6353A" w:rsidRPr="00506D13" w:rsidRDefault="00F6353A">
      <w:pPr>
        <w:rPr>
          <w:rFonts w:ascii="Palatino Linotype" w:hAnsi="Palatino Linotype"/>
          <w:sz w:val="22"/>
        </w:rPr>
      </w:pPr>
    </w:p>
    <w:p w:rsidR="00F6353A" w:rsidRPr="00506D13" w:rsidRDefault="00F6353A">
      <w:pPr>
        <w:numPr>
          <w:ilvl w:val="0"/>
          <w:numId w:val="10"/>
        </w:numPr>
        <w:tabs>
          <w:tab w:val="num" w:pos="1260"/>
        </w:tabs>
        <w:ind w:left="1260" w:hanging="540"/>
        <w:jc w:val="both"/>
        <w:rPr>
          <w:rFonts w:ascii="Palatino Linotype" w:hAnsi="Palatino Linotype"/>
          <w:sz w:val="24"/>
        </w:rPr>
      </w:pPr>
      <w:r w:rsidRPr="00506D13">
        <w:rPr>
          <w:rFonts w:ascii="Palatino Linotype" w:hAnsi="Palatino Linotype"/>
          <w:sz w:val="24"/>
        </w:rPr>
        <w:t>Achieve rates of return in excess of an appropriate benchmark over a three to five</w:t>
      </w:r>
      <w:r w:rsidRPr="00506D13">
        <w:rPr>
          <w:rFonts w:ascii="Palatino Linotype" w:hAnsi="Palatino Linotype"/>
          <w:sz w:val="24"/>
        </w:rPr>
        <w:noBreakHyphen/>
        <w:t>year period.  For private real estate investments, the benchmark is the NCREIF Property Index; and for investments in public real estate securities, the benchmark is The Wilshire REIT Index.</w:t>
      </w:r>
    </w:p>
    <w:p w:rsidR="00F6353A" w:rsidRPr="00506D13" w:rsidRDefault="00F6353A">
      <w:pPr>
        <w:numPr>
          <w:ilvl w:val="0"/>
          <w:numId w:val="10"/>
        </w:numPr>
        <w:tabs>
          <w:tab w:val="num" w:pos="1260"/>
        </w:tabs>
        <w:ind w:left="1260" w:hanging="540"/>
        <w:jc w:val="both"/>
        <w:rPr>
          <w:rFonts w:ascii="Palatino Linotype" w:hAnsi="Palatino Linotype"/>
          <w:sz w:val="24"/>
        </w:rPr>
      </w:pPr>
      <w:r w:rsidRPr="00506D13">
        <w:rPr>
          <w:rFonts w:ascii="Palatino Linotype" w:hAnsi="Palatino Linotype"/>
          <w:sz w:val="24"/>
        </w:rPr>
        <w:t xml:space="preserve">Invest in only high quality, operating and substantially leased properties, avoiding speculative or opportunistic investment strategies.  </w:t>
      </w:r>
    </w:p>
    <w:p w:rsidR="00F6353A" w:rsidRPr="00506D13" w:rsidRDefault="00F6353A">
      <w:pPr>
        <w:numPr>
          <w:ilvl w:val="0"/>
          <w:numId w:val="10"/>
        </w:numPr>
        <w:tabs>
          <w:tab w:val="num" w:pos="1260"/>
        </w:tabs>
        <w:ind w:left="1260" w:hanging="540"/>
        <w:jc w:val="both"/>
        <w:rPr>
          <w:rFonts w:ascii="Palatino Linotype" w:hAnsi="Palatino Linotype"/>
          <w:sz w:val="24"/>
        </w:rPr>
      </w:pPr>
      <w:r w:rsidRPr="00506D13">
        <w:rPr>
          <w:rFonts w:ascii="Palatino Linotype" w:hAnsi="Palatino Linotype"/>
          <w:sz w:val="24"/>
        </w:rPr>
        <w:t xml:space="preserve">A high degree of diversification is desired, with investments in all property types and across the primary geographic and regional economic areas.  </w:t>
      </w:r>
    </w:p>
    <w:p w:rsidR="00F6353A" w:rsidRPr="00506D13" w:rsidRDefault="00F6353A">
      <w:pPr>
        <w:numPr>
          <w:ilvl w:val="0"/>
          <w:numId w:val="10"/>
        </w:numPr>
        <w:tabs>
          <w:tab w:val="num" w:pos="1260"/>
        </w:tabs>
        <w:ind w:left="1260" w:hanging="540"/>
        <w:jc w:val="both"/>
        <w:rPr>
          <w:rFonts w:ascii="Palatino Linotype" w:hAnsi="Palatino Linotype"/>
          <w:sz w:val="24"/>
        </w:rPr>
      </w:pPr>
      <w:r w:rsidRPr="00506D13">
        <w:rPr>
          <w:rFonts w:ascii="Palatino Linotype" w:hAnsi="Palatino Linotype"/>
          <w:sz w:val="24"/>
        </w:rPr>
        <w:t>Investment decisions with respect to individual real estate properties or public real estate securities holdings are left to broad manager discretion, subject to the usual standards of fiduciary prudence.</w:t>
      </w:r>
    </w:p>
    <w:p w:rsidR="00F6353A" w:rsidRPr="00506D13" w:rsidRDefault="00F6353A">
      <w:pPr>
        <w:numPr>
          <w:ilvl w:val="0"/>
          <w:numId w:val="10"/>
        </w:numPr>
        <w:tabs>
          <w:tab w:val="num" w:pos="1260"/>
        </w:tabs>
        <w:ind w:left="1260" w:hanging="540"/>
        <w:jc w:val="both"/>
        <w:rPr>
          <w:rFonts w:ascii="Palatino Linotype" w:hAnsi="Palatino Linotype"/>
          <w:sz w:val="24"/>
        </w:rPr>
      </w:pPr>
      <w:r w:rsidRPr="00506D13">
        <w:rPr>
          <w:rFonts w:ascii="Palatino Linotype" w:hAnsi="Palatino Linotype"/>
          <w:sz w:val="24"/>
        </w:rPr>
        <w:t>Since the allocation to real estate is not large enough to obtain adequate diversification through investments in individual real estate properties, investments in private real estate will be through well</w:t>
      </w:r>
      <w:r w:rsidRPr="00506D13">
        <w:rPr>
          <w:rFonts w:ascii="Palatino Linotype" w:hAnsi="Palatino Linotype"/>
          <w:sz w:val="24"/>
        </w:rPr>
        <w:noBreakHyphen/>
        <w:t>diversified, limited liability collective investment vehicles or commingled funds sponsored by professional third party investment managers.</w:t>
      </w:r>
    </w:p>
    <w:p w:rsidR="00F6353A" w:rsidRPr="00506D13" w:rsidRDefault="00F6353A">
      <w:pPr>
        <w:numPr>
          <w:ilvl w:val="0"/>
          <w:numId w:val="10"/>
        </w:numPr>
        <w:tabs>
          <w:tab w:val="num" w:pos="1260"/>
        </w:tabs>
        <w:ind w:left="1260" w:hanging="540"/>
        <w:jc w:val="both"/>
        <w:rPr>
          <w:rFonts w:ascii="Palatino Linotype" w:hAnsi="Palatino Linotype"/>
          <w:sz w:val="22"/>
        </w:rPr>
      </w:pPr>
      <w:r w:rsidRPr="00506D13">
        <w:rPr>
          <w:rFonts w:ascii="Palatino Linotype" w:hAnsi="Palatino Linotype"/>
          <w:sz w:val="24"/>
        </w:rPr>
        <w:t xml:space="preserve">The Investment Committee has delegated the responsibility of voting all </w:t>
      </w:r>
      <w:r w:rsidRPr="00506D13">
        <w:rPr>
          <w:rFonts w:ascii="Palatino Linotype" w:hAnsi="Palatino Linotype"/>
          <w:sz w:val="24"/>
        </w:rPr>
        <w:lastRenderedPageBreak/>
        <w:t>proxies associated with investments in public real estate securities to the investment manager according to the manager’s internal proxy voting guidelines.  They are required to vote the issues on behalf of the Program.</w:t>
      </w:r>
    </w:p>
    <w:p w:rsidR="00F6353A" w:rsidRPr="00506D13" w:rsidRDefault="00F6353A">
      <w:pPr>
        <w:rPr>
          <w:rFonts w:ascii="Palatino Linotype" w:hAnsi="Palatino Linotype"/>
          <w:sz w:val="22"/>
        </w:rPr>
      </w:pPr>
    </w:p>
    <w:p w:rsidR="00F6353A" w:rsidRPr="00506D13" w:rsidRDefault="00F6353A">
      <w:pPr>
        <w:pStyle w:val="Heading2"/>
        <w:rPr>
          <w:rFonts w:ascii="Palatino Linotype" w:hAnsi="Palatino Linotype"/>
          <w:sz w:val="22"/>
        </w:rPr>
      </w:pPr>
      <w:r w:rsidRPr="00506D13">
        <w:rPr>
          <w:rFonts w:ascii="Palatino Linotype" w:hAnsi="Palatino Linotype"/>
          <w:b/>
        </w:rPr>
        <w:t>Monitoring and Control</w:t>
      </w:r>
    </w:p>
    <w:p w:rsidR="00F6353A" w:rsidRPr="00506D13" w:rsidRDefault="00F6353A">
      <w:pPr>
        <w:rPr>
          <w:rFonts w:ascii="Palatino Linotype" w:hAnsi="Palatino Linotype"/>
          <w:sz w:val="22"/>
        </w:rPr>
      </w:pPr>
    </w:p>
    <w:p w:rsidR="00F6353A" w:rsidRPr="00506D13" w:rsidRDefault="00F6353A">
      <w:pPr>
        <w:numPr>
          <w:ilvl w:val="0"/>
          <w:numId w:val="11"/>
        </w:numPr>
        <w:tabs>
          <w:tab w:val="clear" w:pos="360"/>
          <w:tab w:val="left" w:pos="1260"/>
        </w:tabs>
        <w:ind w:left="1260" w:hanging="540"/>
        <w:jc w:val="both"/>
        <w:rPr>
          <w:rFonts w:ascii="Palatino Linotype" w:hAnsi="Palatino Linotype"/>
          <w:sz w:val="24"/>
        </w:rPr>
      </w:pPr>
      <w:r w:rsidRPr="00506D13">
        <w:rPr>
          <w:rFonts w:ascii="Palatino Linotype" w:hAnsi="Palatino Linotype"/>
          <w:sz w:val="24"/>
        </w:rPr>
        <w:t>The returns for the asset class and individual real estate investments are reported to the Investment Committee on a quarterly basis.</w:t>
      </w:r>
    </w:p>
    <w:p w:rsidR="00330E2A" w:rsidRPr="00506D13" w:rsidRDefault="00330E2A" w:rsidP="002570B3">
      <w:pPr>
        <w:jc w:val="center"/>
        <w:rPr>
          <w:rFonts w:ascii="Palatino Linotype" w:hAnsi="Palatino Linotype"/>
          <w:b/>
          <w:i/>
          <w:color w:val="FF0000"/>
          <w:sz w:val="24"/>
        </w:rPr>
      </w:pPr>
    </w:p>
    <w:p w:rsidR="007147AB" w:rsidRPr="00506D13" w:rsidRDefault="007147AB" w:rsidP="00452418">
      <w:pPr>
        <w:jc w:val="both"/>
        <w:rPr>
          <w:rFonts w:ascii="Palatino Linotype" w:hAnsi="Palatino Linotype"/>
          <w:color w:val="FF0000"/>
          <w:sz w:val="24"/>
        </w:rPr>
      </w:pPr>
    </w:p>
    <w:p w:rsidR="007147AB" w:rsidRPr="00506D13" w:rsidRDefault="007147AB" w:rsidP="00452418">
      <w:pPr>
        <w:jc w:val="both"/>
        <w:rPr>
          <w:rFonts w:ascii="Palatino Linotype" w:hAnsi="Palatino Linotype"/>
          <w:sz w:val="24"/>
        </w:rPr>
      </w:pPr>
    </w:p>
    <w:p w:rsidR="007147AB" w:rsidRPr="00506D13" w:rsidRDefault="007147AB" w:rsidP="00452418">
      <w:pPr>
        <w:jc w:val="both"/>
        <w:rPr>
          <w:rFonts w:ascii="Palatino Linotype" w:hAnsi="Palatino Linotype"/>
          <w:sz w:val="24"/>
        </w:rPr>
      </w:pPr>
      <w:r w:rsidRPr="00506D13">
        <w:rPr>
          <w:rFonts w:ascii="Palatino Linotype" w:hAnsi="Palatino Linotype"/>
          <w:sz w:val="24"/>
        </w:rPr>
        <w:t>Signature _______________________________________________</w:t>
      </w:r>
    </w:p>
    <w:p w:rsidR="007147AB" w:rsidRPr="00506D13" w:rsidRDefault="007147AB" w:rsidP="00452418">
      <w:pPr>
        <w:jc w:val="both"/>
        <w:rPr>
          <w:rFonts w:ascii="Palatino Linotype" w:hAnsi="Palatino Linotype"/>
          <w:sz w:val="24"/>
        </w:rPr>
      </w:pPr>
      <w:r w:rsidRPr="00506D13">
        <w:rPr>
          <w:rFonts w:ascii="Palatino Linotype" w:hAnsi="Palatino Linotype"/>
          <w:sz w:val="24"/>
        </w:rPr>
        <w:tab/>
      </w:r>
      <w:r w:rsidRPr="00506D13">
        <w:rPr>
          <w:rFonts w:ascii="Palatino Linotype" w:hAnsi="Palatino Linotype"/>
          <w:sz w:val="24"/>
        </w:rPr>
        <w:tab/>
      </w:r>
      <w:r w:rsidRPr="00506D13">
        <w:rPr>
          <w:rFonts w:ascii="Palatino Linotype" w:hAnsi="Palatino Linotype"/>
          <w:sz w:val="24"/>
        </w:rPr>
        <w:tab/>
        <w:t>President - Trustees</w:t>
      </w:r>
    </w:p>
    <w:p w:rsidR="007147AB" w:rsidRPr="00506D13" w:rsidRDefault="007147AB" w:rsidP="00452418">
      <w:pPr>
        <w:jc w:val="both"/>
        <w:rPr>
          <w:rFonts w:ascii="Palatino Linotype" w:hAnsi="Palatino Linotype"/>
          <w:sz w:val="24"/>
        </w:rPr>
      </w:pPr>
    </w:p>
    <w:p w:rsidR="007147AB" w:rsidRPr="00506D13" w:rsidRDefault="007147AB" w:rsidP="00452418">
      <w:pPr>
        <w:jc w:val="both"/>
        <w:rPr>
          <w:rFonts w:ascii="Palatino Linotype" w:hAnsi="Palatino Linotype"/>
          <w:sz w:val="24"/>
        </w:rPr>
      </w:pPr>
      <w:r w:rsidRPr="00506D13">
        <w:rPr>
          <w:rFonts w:ascii="Palatino Linotype" w:hAnsi="Palatino Linotype"/>
          <w:sz w:val="24"/>
        </w:rPr>
        <w:t>Date ___________________________________________________</w:t>
      </w:r>
    </w:p>
    <w:p w:rsidR="00452418" w:rsidRPr="00506D13" w:rsidRDefault="00452418" w:rsidP="00330E2A">
      <w:pPr>
        <w:jc w:val="both"/>
        <w:rPr>
          <w:rFonts w:ascii="Palatino Linotype" w:hAnsi="Palatino Linotype"/>
          <w:sz w:val="24"/>
        </w:rPr>
        <w:sectPr w:rsidR="00452418" w:rsidRPr="00506D13" w:rsidSect="00452418">
          <w:headerReference w:type="default" r:id="rId9"/>
          <w:footerReference w:type="default" r:id="rId10"/>
          <w:headerReference w:type="first" r:id="rId11"/>
          <w:footerReference w:type="first" r:id="rId12"/>
          <w:footnotePr>
            <w:numRestart w:val="eachPage"/>
          </w:footnotePr>
          <w:type w:val="continuous"/>
          <w:pgSz w:w="12240" w:h="15840" w:code="1"/>
          <w:pgMar w:top="1440" w:right="1440" w:bottom="1080" w:left="1440" w:header="720" w:footer="720" w:gutter="0"/>
          <w:cols w:space="720"/>
          <w:noEndnote/>
        </w:sectPr>
      </w:pPr>
    </w:p>
    <w:p w:rsidR="00452418" w:rsidRPr="00506D13" w:rsidRDefault="00452418" w:rsidP="00330E2A">
      <w:pPr>
        <w:rPr>
          <w:rFonts w:ascii="Palatino Linotype" w:hAnsi="Palatino Linotype"/>
        </w:rPr>
      </w:pPr>
    </w:p>
    <w:sectPr w:rsidR="00452418" w:rsidRPr="00506D13" w:rsidSect="00515AEA">
      <w:footnotePr>
        <w:numRestart w:val="eachPage"/>
      </w:footnotePr>
      <w:type w:val="continuous"/>
      <w:pgSz w:w="12240" w:h="15840" w:code="1"/>
      <w:pgMar w:top="1440" w:right="1440" w:bottom="1080" w:left="144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10D" w:rsidRDefault="00E3610D">
      <w:r>
        <w:separator/>
      </w:r>
    </w:p>
  </w:endnote>
  <w:endnote w:type="continuationSeparator" w:id="0">
    <w:p w:rsidR="00E3610D" w:rsidRDefault="00E36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40" w:rsidRDefault="00187940">
    <w:pPr>
      <w:pStyle w:val="Footer"/>
      <w:jc w:val="right"/>
    </w:pPr>
    <w:r>
      <w:rPr>
        <w:rFonts w:ascii="Times New Roman" w:hAnsi="Times New Roman"/>
        <w:b/>
        <w:sz w:val="26"/>
      </w:rPr>
      <w:t xml:space="preserve">Page </w:t>
    </w:r>
    <w:r>
      <w:rPr>
        <w:rStyle w:val="PageNumber"/>
        <w:rFonts w:ascii="Times New Roman" w:hAnsi="Times New Roman"/>
        <w:b/>
        <w:sz w:val="26"/>
      </w:rPr>
      <w:fldChar w:fldCharType="begin"/>
    </w:r>
    <w:r>
      <w:rPr>
        <w:rStyle w:val="PageNumber"/>
        <w:rFonts w:ascii="Times New Roman" w:hAnsi="Times New Roman"/>
        <w:b/>
        <w:sz w:val="26"/>
      </w:rPr>
      <w:instrText xml:space="preserve"> PAGE </w:instrText>
    </w:r>
    <w:r>
      <w:rPr>
        <w:rStyle w:val="PageNumber"/>
        <w:rFonts w:ascii="Times New Roman" w:hAnsi="Times New Roman"/>
        <w:b/>
        <w:sz w:val="26"/>
      </w:rPr>
      <w:fldChar w:fldCharType="separate"/>
    </w:r>
    <w:r w:rsidR="008F1987">
      <w:rPr>
        <w:rStyle w:val="PageNumber"/>
        <w:rFonts w:ascii="Times New Roman" w:hAnsi="Times New Roman"/>
        <w:b/>
        <w:noProof/>
        <w:sz w:val="26"/>
      </w:rPr>
      <w:t>1</w:t>
    </w:r>
    <w:r>
      <w:rPr>
        <w:rStyle w:val="PageNumber"/>
        <w:rFonts w:ascii="Times New Roman" w:hAnsi="Times New Roman"/>
        <w:b/>
        <w:sz w:val="2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40" w:rsidRDefault="00187940">
    <w:pPr>
      <w:widowControl/>
      <w:jc w:val="right"/>
      <w:rPr>
        <w:rFonts w:ascii="Times New Roman" w:hAnsi="Times New Roman"/>
        <w:sz w:val="22"/>
      </w:rPr>
    </w:pPr>
    <w:r>
      <w:rPr>
        <w:rFonts w:ascii="Times New Roman" w:hAnsi="Times New Roman"/>
        <w:sz w:val="22"/>
      </w:rPr>
      <w:t>Amended at Trustees' Meeting</w:t>
    </w:r>
  </w:p>
  <w:p w:rsidR="00187940" w:rsidRPr="009A39AE" w:rsidRDefault="00187940">
    <w:pPr>
      <w:pStyle w:val="Footer"/>
      <w:jc w:val="right"/>
    </w:pPr>
    <w:r>
      <w:rPr>
        <w:rFonts w:ascii="Times New Roman" w:hAnsi="Times New Roman"/>
        <w:color w:val="FF0000"/>
        <w:sz w:val="22"/>
      </w:rPr>
      <w:t xml:space="preserve"> </w:t>
    </w:r>
    <w:smartTag w:uri="urn:schemas-microsoft-com:office:smarttags" w:element="date">
      <w:smartTagPr>
        <w:attr w:name="Month" w:val="5"/>
        <w:attr w:name="Day" w:val="10"/>
        <w:attr w:name="Year" w:val="2006"/>
      </w:smartTagPr>
      <w:r w:rsidRPr="009A39AE">
        <w:rPr>
          <w:rFonts w:ascii="Times New Roman" w:hAnsi="Times New Roman"/>
          <w:sz w:val="22"/>
        </w:rPr>
        <w:t>May 10, 2006</w:t>
      </w:r>
    </w:smartTag>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40" w:rsidRDefault="00187940">
    <w:pPr>
      <w:pStyle w:val="Footer"/>
      <w:jc w:val="right"/>
      <w:rPr>
        <w:rFonts w:ascii="Times New Roman" w:hAnsi="Times New Roman"/>
        <w:b/>
        <w:sz w:val="26"/>
      </w:rPr>
    </w:pPr>
    <w:r>
      <w:rPr>
        <w:rFonts w:ascii="Times New Roman" w:hAnsi="Times New Roman"/>
        <w:b/>
        <w:sz w:val="26"/>
      </w:rPr>
      <w:t xml:space="preserve">Page </w:t>
    </w:r>
    <w:r>
      <w:rPr>
        <w:rStyle w:val="PageNumber"/>
        <w:rFonts w:ascii="Times New Roman" w:hAnsi="Times New Roman"/>
        <w:b/>
        <w:sz w:val="26"/>
      </w:rPr>
      <w:fldChar w:fldCharType="begin"/>
    </w:r>
    <w:r>
      <w:rPr>
        <w:rStyle w:val="PageNumber"/>
        <w:rFonts w:ascii="Times New Roman" w:hAnsi="Times New Roman"/>
        <w:b/>
        <w:sz w:val="26"/>
      </w:rPr>
      <w:instrText xml:space="preserve"> PAGE </w:instrText>
    </w:r>
    <w:r>
      <w:rPr>
        <w:rStyle w:val="PageNumber"/>
        <w:rFonts w:ascii="Times New Roman" w:hAnsi="Times New Roman"/>
        <w:b/>
        <w:sz w:val="26"/>
      </w:rPr>
      <w:fldChar w:fldCharType="separate"/>
    </w:r>
    <w:r w:rsidR="008F1987">
      <w:rPr>
        <w:rStyle w:val="PageNumber"/>
        <w:rFonts w:ascii="Times New Roman" w:hAnsi="Times New Roman"/>
        <w:b/>
        <w:noProof/>
        <w:sz w:val="26"/>
      </w:rPr>
      <w:t>8</w:t>
    </w:r>
    <w:r>
      <w:rPr>
        <w:rStyle w:val="PageNumber"/>
        <w:rFonts w:ascii="Times New Roman" w:hAnsi="Times New Roman"/>
        <w:b/>
        <w:sz w:val="2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40" w:rsidRDefault="00187940">
    <w:pPr>
      <w:pStyle w:val="Footer"/>
      <w:jc w:val="right"/>
      <w:rPr>
        <w:rFonts w:ascii="Times New Roman" w:hAnsi="Times New Roman"/>
        <w:b/>
        <w:sz w:val="26"/>
      </w:rPr>
    </w:pPr>
    <w:r>
      <w:rPr>
        <w:rFonts w:ascii="Times New Roman" w:hAnsi="Times New Roman"/>
        <w:b/>
        <w:sz w:val="26"/>
      </w:rPr>
      <w:t xml:space="preserve">Page </w:t>
    </w:r>
    <w:r>
      <w:rPr>
        <w:rStyle w:val="PageNumber"/>
        <w:rFonts w:ascii="Times New Roman" w:hAnsi="Times New Roman"/>
        <w:b/>
        <w:sz w:val="26"/>
      </w:rPr>
      <w:fldChar w:fldCharType="begin"/>
    </w:r>
    <w:r>
      <w:rPr>
        <w:rStyle w:val="PageNumber"/>
        <w:rFonts w:ascii="Times New Roman" w:hAnsi="Times New Roman"/>
        <w:b/>
        <w:sz w:val="26"/>
      </w:rPr>
      <w:instrText xml:space="preserve"> PAGE </w:instrText>
    </w:r>
    <w:r>
      <w:rPr>
        <w:rStyle w:val="PageNumber"/>
        <w:rFonts w:ascii="Times New Roman" w:hAnsi="Times New Roman"/>
        <w:b/>
        <w:sz w:val="26"/>
      </w:rPr>
      <w:fldChar w:fldCharType="separate"/>
    </w:r>
    <w:r>
      <w:rPr>
        <w:rStyle w:val="PageNumber"/>
        <w:rFonts w:ascii="Times New Roman" w:hAnsi="Times New Roman"/>
        <w:b/>
        <w:noProof/>
        <w:sz w:val="26"/>
      </w:rPr>
      <w:t>2</w:t>
    </w:r>
    <w:r>
      <w:rPr>
        <w:rStyle w:val="PageNumber"/>
        <w:rFonts w:ascii="Times New Roman" w:hAnsi="Times New Roman"/>
        <w:b/>
        <w:sz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10D" w:rsidRDefault="00E3610D">
      <w:r>
        <w:separator/>
      </w:r>
    </w:p>
  </w:footnote>
  <w:footnote w:type="continuationSeparator" w:id="0">
    <w:p w:rsidR="00E3610D" w:rsidRDefault="00E36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40" w:rsidRDefault="00187940">
    <w:pPr>
      <w:pStyle w:val="Footer"/>
      <w:rPr>
        <w:sz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40" w:rsidRDefault="00187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496"/>
    <w:multiLevelType w:val="hybridMultilevel"/>
    <w:tmpl w:val="FD66E0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D71E85"/>
    <w:multiLevelType w:val="hybridMultilevel"/>
    <w:tmpl w:val="5C9402EC"/>
    <w:lvl w:ilvl="0">
      <w:start w:val="2"/>
      <w:numFmt w:val="decimal"/>
      <w:lvlText w:val="%1."/>
      <w:lvlJc w:val="left"/>
      <w:pPr>
        <w:tabs>
          <w:tab w:val="num" w:pos="1350"/>
        </w:tabs>
        <w:ind w:left="1350" w:hanging="360"/>
      </w:pPr>
      <w:rPr>
        <w:rFonts w:hint="default"/>
        <w:strike/>
        <w:color w:val="FF0000"/>
        <w:szCs w:val="24"/>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1C01D9E"/>
    <w:multiLevelType w:val="hybridMultilevel"/>
    <w:tmpl w:val="DB3419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3EC6E53"/>
    <w:multiLevelType w:val="hybridMultilevel"/>
    <w:tmpl w:val="B55C3D20"/>
    <w:lvl w:ilvl="0" w:tplc="FFFFFFF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73D336A"/>
    <w:multiLevelType w:val="hybridMultilevel"/>
    <w:tmpl w:val="2D7AF7E0"/>
    <w:lvl w:ilvl="0">
      <w:start w:val="1"/>
      <w:numFmt w:val="decimal"/>
      <w:lvlText w:val="%1."/>
      <w:lvlJc w:val="left"/>
      <w:pPr>
        <w:tabs>
          <w:tab w:val="num" w:pos="1170"/>
        </w:tabs>
        <w:ind w:left="117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A9C1C04"/>
    <w:multiLevelType w:val="hybridMultilevel"/>
    <w:tmpl w:val="E178573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5380E79"/>
    <w:multiLevelType w:val="hybridMultilevel"/>
    <w:tmpl w:val="F678F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766338"/>
    <w:multiLevelType w:val="singleLevel"/>
    <w:tmpl w:val="0409000F"/>
    <w:lvl w:ilvl="0">
      <w:start w:val="1"/>
      <w:numFmt w:val="decimal"/>
      <w:lvlText w:val="%1."/>
      <w:lvlJc w:val="left"/>
      <w:pPr>
        <w:tabs>
          <w:tab w:val="num" w:pos="360"/>
        </w:tabs>
        <w:ind w:left="360" w:hanging="360"/>
      </w:pPr>
    </w:lvl>
  </w:abstractNum>
  <w:abstractNum w:abstractNumId="8">
    <w:nsid w:val="3CBE01FD"/>
    <w:multiLevelType w:val="hybridMultilevel"/>
    <w:tmpl w:val="017AF3EE"/>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FD33F45"/>
    <w:multiLevelType w:val="hybridMultilevel"/>
    <w:tmpl w:val="EFB0D00E"/>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4275B8C"/>
    <w:multiLevelType w:val="hybridMultilevel"/>
    <w:tmpl w:val="BE4E3384"/>
    <w:lvl w:ilvl="0">
      <w:start w:val="1"/>
      <w:numFmt w:val="decimal"/>
      <w:lvlText w:val="%1."/>
      <w:lvlJc w:val="left"/>
      <w:pPr>
        <w:tabs>
          <w:tab w:val="num" w:pos="1260"/>
        </w:tabs>
        <w:ind w:left="1260" w:hanging="5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4A6E213C"/>
    <w:multiLevelType w:val="multilevel"/>
    <w:tmpl w:val="2D7AF7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B5D019B"/>
    <w:multiLevelType w:val="hybridMultilevel"/>
    <w:tmpl w:val="7BBE9C3E"/>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E851F2"/>
    <w:multiLevelType w:val="singleLevel"/>
    <w:tmpl w:val="0409000F"/>
    <w:lvl w:ilvl="0">
      <w:start w:val="1"/>
      <w:numFmt w:val="decimal"/>
      <w:lvlText w:val="%1."/>
      <w:lvlJc w:val="left"/>
      <w:pPr>
        <w:tabs>
          <w:tab w:val="num" w:pos="360"/>
        </w:tabs>
        <w:ind w:left="360" w:hanging="360"/>
      </w:pPr>
    </w:lvl>
  </w:abstractNum>
  <w:abstractNum w:abstractNumId="14">
    <w:nsid w:val="521B2F81"/>
    <w:multiLevelType w:val="hybridMultilevel"/>
    <w:tmpl w:val="7DEC65A4"/>
    <w:lvl w:ilvl="0">
      <w:start w:val="2"/>
      <w:numFmt w:val="decimal"/>
      <w:lvlText w:val="%1."/>
      <w:lvlJc w:val="left"/>
      <w:pPr>
        <w:tabs>
          <w:tab w:val="num" w:pos="1260"/>
        </w:tabs>
        <w:ind w:left="1260" w:hanging="5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59EB4694"/>
    <w:multiLevelType w:val="hybridMultilevel"/>
    <w:tmpl w:val="74D48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7C101B"/>
    <w:multiLevelType w:val="hybridMultilevel"/>
    <w:tmpl w:val="89866BB4"/>
    <w:lvl w:ilvl="0">
      <w:start w:val="1"/>
      <w:numFmt w:val="decimal"/>
      <w:lvlText w:val="%1."/>
      <w:lvlJc w:val="left"/>
      <w:pPr>
        <w:tabs>
          <w:tab w:val="num" w:pos="1260"/>
        </w:tabs>
        <w:ind w:left="1260" w:hanging="5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60EE56BA"/>
    <w:multiLevelType w:val="hybridMultilevel"/>
    <w:tmpl w:val="9C701286"/>
    <w:lvl w:ilvl="0" w:tplc="322885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4AD1759"/>
    <w:multiLevelType w:val="singleLevel"/>
    <w:tmpl w:val="0409000F"/>
    <w:lvl w:ilvl="0">
      <w:start w:val="1"/>
      <w:numFmt w:val="decimal"/>
      <w:lvlText w:val="%1."/>
      <w:lvlJc w:val="left"/>
      <w:pPr>
        <w:tabs>
          <w:tab w:val="num" w:pos="360"/>
        </w:tabs>
        <w:ind w:left="360" w:hanging="360"/>
      </w:pPr>
    </w:lvl>
  </w:abstractNum>
  <w:abstractNum w:abstractNumId="19">
    <w:nsid w:val="67514A2A"/>
    <w:multiLevelType w:val="hybridMultilevel"/>
    <w:tmpl w:val="53683DD6"/>
    <w:lvl w:ilvl="0">
      <w:start w:val="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6EFF03D6"/>
    <w:multiLevelType w:val="hybridMultilevel"/>
    <w:tmpl w:val="C26895D0"/>
    <w:lvl w:ilvl="0" w:tplc="063EE076">
      <w:start w:val="2"/>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1">
    <w:nsid w:val="78620F96"/>
    <w:multiLevelType w:val="multilevel"/>
    <w:tmpl w:val="F0BE2A1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7A7246B8"/>
    <w:multiLevelType w:val="hybridMultilevel"/>
    <w:tmpl w:val="9D509A2C"/>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2"/>
  </w:num>
  <w:num w:numId="2">
    <w:abstractNumId w:val="8"/>
  </w:num>
  <w:num w:numId="3">
    <w:abstractNumId w:val="10"/>
  </w:num>
  <w:num w:numId="4">
    <w:abstractNumId w:val="19"/>
  </w:num>
  <w:num w:numId="5">
    <w:abstractNumId w:val="14"/>
  </w:num>
  <w:num w:numId="6">
    <w:abstractNumId w:val="16"/>
  </w:num>
  <w:num w:numId="7">
    <w:abstractNumId w:val="7"/>
  </w:num>
  <w:num w:numId="8">
    <w:abstractNumId w:val="13"/>
  </w:num>
  <w:num w:numId="9">
    <w:abstractNumId w:val="18"/>
  </w:num>
  <w:num w:numId="10">
    <w:abstractNumId w:val="4"/>
  </w:num>
  <w:num w:numId="11">
    <w:abstractNumId w:val="0"/>
  </w:num>
  <w:num w:numId="12">
    <w:abstractNumId w:val="1"/>
  </w:num>
  <w:num w:numId="13">
    <w:abstractNumId w:val="21"/>
  </w:num>
  <w:num w:numId="14">
    <w:abstractNumId w:val="11"/>
  </w:num>
  <w:num w:numId="15">
    <w:abstractNumId w:val="12"/>
  </w:num>
  <w:num w:numId="16">
    <w:abstractNumId w:val="9"/>
  </w:num>
  <w:num w:numId="17">
    <w:abstractNumId w:val="3"/>
  </w:num>
  <w:num w:numId="18">
    <w:abstractNumId w:val="5"/>
  </w:num>
  <w:num w:numId="19">
    <w:abstractNumId w:val="15"/>
  </w:num>
  <w:num w:numId="20">
    <w:abstractNumId w:val="6"/>
  </w:num>
  <w:num w:numId="21">
    <w:abstractNumId w:val="2"/>
  </w:num>
  <w:num w:numId="22">
    <w:abstractNumId w:val="2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5042"/>
    <w:rsid w:val="00013373"/>
    <w:rsid w:val="001048B7"/>
    <w:rsid w:val="00107FA7"/>
    <w:rsid w:val="00187940"/>
    <w:rsid w:val="002570B3"/>
    <w:rsid w:val="00281346"/>
    <w:rsid w:val="002B186B"/>
    <w:rsid w:val="002C678C"/>
    <w:rsid w:val="00330E2A"/>
    <w:rsid w:val="00411DFD"/>
    <w:rsid w:val="00452418"/>
    <w:rsid w:val="004759FC"/>
    <w:rsid w:val="00506D13"/>
    <w:rsid w:val="00515AEA"/>
    <w:rsid w:val="005E041D"/>
    <w:rsid w:val="00627F63"/>
    <w:rsid w:val="006379FB"/>
    <w:rsid w:val="00680736"/>
    <w:rsid w:val="007147AB"/>
    <w:rsid w:val="008B2385"/>
    <w:rsid w:val="008E558E"/>
    <w:rsid w:val="008F1987"/>
    <w:rsid w:val="00901AF9"/>
    <w:rsid w:val="009A39AE"/>
    <w:rsid w:val="00AE303D"/>
    <w:rsid w:val="00AE4080"/>
    <w:rsid w:val="00BB406B"/>
    <w:rsid w:val="00CE6A0C"/>
    <w:rsid w:val="00D2261D"/>
    <w:rsid w:val="00D95042"/>
    <w:rsid w:val="00E3610D"/>
    <w:rsid w:val="00E87B35"/>
    <w:rsid w:val="00ED1F36"/>
    <w:rsid w:val="00EE041D"/>
    <w:rsid w:val="00F6353A"/>
    <w:rsid w:val="00F837E5"/>
    <w:rsid w:val="00FC5EF0"/>
    <w:rsid w:val="00FD11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24"/>
    </w:rPr>
  </w:style>
  <w:style w:type="paragraph" w:styleId="Heading2">
    <w:name w:val="heading 2"/>
    <w:basedOn w:val="Normal"/>
    <w:next w:val="Normal"/>
    <w:qFormat/>
    <w:pPr>
      <w:keepNext/>
      <w:widowControl/>
      <w:outlineLvl w:val="1"/>
    </w:pPr>
    <w:rPr>
      <w:rFonts w:ascii="Times New Roman" w:hAnsi="Times New Roman"/>
      <w:sz w:val="24"/>
    </w:rPr>
  </w:style>
  <w:style w:type="paragraph" w:styleId="Heading3">
    <w:name w:val="heading 3"/>
    <w:basedOn w:val="Normal"/>
    <w:next w:val="Normal"/>
    <w:qFormat/>
    <w:pPr>
      <w:keepNext/>
      <w:widowControl/>
      <w:spacing w:line="249" w:lineRule="exact"/>
      <w:jc w:val="right"/>
      <w:outlineLvl w:val="2"/>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pPr>
    <w:rPr>
      <w:snapToGrid/>
      <w:sz w:val="22"/>
    </w:rPr>
  </w:style>
  <w:style w:type="paragraph" w:styleId="BalloonText">
    <w:name w:val="Balloon Text"/>
    <w:basedOn w:val="Normal"/>
    <w:semiHidden/>
    <w:rsid w:val="00D95042"/>
    <w:rPr>
      <w:rFonts w:ascii="Tahoma" w:hAnsi="Tahoma" w:cs="Tahoma"/>
      <w:sz w:val="16"/>
      <w:szCs w:val="16"/>
    </w:rPr>
  </w:style>
  <w:style w:type="paragraph" w:styleId="DocumentMap">
    <w:name w:val="Document Map"/>
    <w:basedOn w:val="Normal"/>
    <w:semiHidden/>
    <w:rsid w:val="00EE041D"/>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2254</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lpstr>
    </vt:vector>
  </TitlesOfParts>
  <Company>Baptist Foundation Of Texas</Company>
  <LinksUpToDate>false</LinksUpToDate>
  <CharactersWithSpaces>14988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invester</dc:creator>
  <cp:keywords/>
  <dc:description/>
  <cp:lastModifiedBy>bsa</cp:lastModifiedBy>
  <cp:revision>2</cp:revision>
  <cp:lastPrinted>2007-07-06T20:58:00Z</cp:lastPrinted>
  <dcterms:created xsi:type="dcterms:W3CDTF">2011-03-16T16:24:00Z</dcterms:created>
  <dcterms:modified xsi:type="dcterms:W3CDTF">2011-03-16T16:24:00Z</dcterms:modified>
</cp:coreProperties>
</file>